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ДОКЛАД к защите выпускной квалификационной работы на тему: «Применение интернет-технологий в коммерческой деятельности предприятий»</w:t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Студент: Костров. Руководитель: к.э.н., доцент Саенко М. Ю.</w:t>
      </w:r>
    </w:p>
    <w:p>
      <w:pPr>
        <w:jc w:val="both"/>
      </w:pPr>
      <w:r>
        <w:rPr>
          <w:rFonts w:ascii="Times New Roman" w:hAnsi="Times New Roman"/>
          <w:i/>
          <w:sz w:val="24"/>
        </w:rPr>
        <w:t xml:space="preserve">[Слайд 1] </w:t>
      </w:r>
      <w:r>
        <w:rPr>
          <w:rFonts w:ascii="Times New Roman" w:hAnsi="Times New Roman"/>
          <w:sz w:val="28"/>
        </w:rPr>
        <w:t>Уважаемый Председатель и уважаемые члены Государственной аттестационной комиссии! Вашему вниманию представляется выпускная квалификационная работа на тему: «Применение интернет-технологий в коммерческой деятельности предприятий».</w:t>
      </w:r>
    </w:p>
    <w:p>
      <w:pPr>
        <w:jc w:val="both"/>
      </w:pPr>
      <w:r>
        <w:rPr>
          <w:rFonts w:ascii="Times New Roman" w:hAnsi="Times New Roman"/>
          <w:i/>
          <w:sz w:val="24"/>
        </w:rPr>
        <w:t xml:space="preserve">[Слайд 2] </w:t>
      </w:r>
      <w:r>
        <w:rPr>
          <w:rFonts w:ascii="Times New Roman" w:hAnsi="Times New Roman"/>
          <w:sz w:val="28"/>
        </w:rPr>
        <w:t>Тема особенно актуальна. По данным Ассоциации компаний интернет-торговли и агентства «Дата Инсайт», объём российского рынка электронной торговли в 2024 году достиг около 9,1 трлн рублей и вырос более чем на 35 % к предыдущему году, а доля онлайн-канала в обороте розницы поднялась до 15–16 %. Оборотной стороной массового использования интернет-технологий стали системные угрозы экономической безопасности: каждый новый цифровой канал продаж одновременно становится возможным каналом для противоправных действий.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Объектом исследования выступает совокупность коммерческих организаций Юго-Западного административного округа Москвы, ведущих торгово-сбытовую деятельность с использованием интернет-технологий; в качестве модельной группы выделены пять предприятий-аналогов (П-1 — П-5). Предметом работы являются перспективы применения интернет-технологий и отношения этих предприятий с подразделением экономической безопасности по устойчивости цифровых каналов продаж.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Цель работы — на основе исследования теории и практики применения интернет-технологий разработать комплекс концептуальных предложений по повышению эффективности коммерческой деятельности за счёт усиления экономической безопасности при поддержке Отдела экономической безопасности и противодействия коррупции УВД по ЮЗАО. Для её достижения раскрыты основы интернет-технологий в коммерции, систематизирован опыт цифровых экосистем, определена роль экономической безопасности, проанализирована модельная группа, выявлены угрозы и разработана программа мер с оценкой её эффективности.</w:t>
      </w:r>
    </w:p>
    <w:p>
      <w:pPr>
        <w:jc w:val="both"/>
      </w:pPr>
      <w:r>
        <w:rPr>
          <w:rFonts w:ascii="Times New Roman" w:hAnsi="Times New Roman"/>
          <w:i/>
          <w:sz w:val="24"/>
        </w:rPr>
        <w:t xml:space="preserve">[Слайд 3] </w:t>
      </w:r>
      <w:r>
        <w:rPr>
          <w:rFonts w:ascii="Times New Roman" w:hAnsi="Times New Roman"/>
          <w:sz w:val="28"/>
        </w:rPr>
        <w:t>Исследование проводилось на базе ОЭБиПК УВД по ЮЗАО ГУ МВД России по г. Москве и модельной группы из пяти коммерческих предприятий округа разного профиля — от инжиниринга и торговли оборудованием до медицинского центра, торговли стройматериалами, фермерского маркетплейса и стоматологической сети. Показано, что подразделение экономической безопасности играет ключевую инфраструктурную роль для устойчивости бизнеса, а его функция смещается от реагирования к профилактике и цифровому мониторингу.</w:t>
      </w:r>
    </w:p>
    <w:p>
      <w:pPr>
        <w:jc w:val="both"/>
      </w:pPr>
      <w:r>
        <w:rPr>
          <w:rFonts w:ascii="Times New Roman" w:hAnsi="Times New Roman"/>
          <w:i/>
          <w:sz w:val="24"/>
        </w:rPr>
        <w:t xml:space="preserve">[Слайд 4] </w:t>
      </w:r>
      <w:r>
        <w:rPr>
          <w:rFonts w:ascii="Times New Roman" w:hAnsi="Times New Roman"/>
          <w:sz w:val="28"/>
        </w:rPr>
        <w:t>В первой главе интернет-технологии рассмотрены расширительно — как многоуровневая архитектура сетевых программно-технических средств и связанных с ними экономико-организационных процедур. Установлено, что инвестиции в защиту цифровых каналов работают как инвестиции в маркетинг — через рост лояльности клиентов и снижение стоимости их привлечения.</w:t>
      </w:r>
    </w:p>
    <w:p>
      <w:pPr>
        <w:jc w:val="both"/>
      </w:pPr>
      <w:r>
        <w:rPr>
          <w:rFonts w:ascii="Times New Roman" w:hAnsi="Times New Roman"/>
          <w:i/>
          <w:sz w:val="24"/>
        </w:rPr>
        <w:t xml:space="preserve">[Слайды 5–6] </w:t>
      </w:r>
      <w:r>
        <w:rPr>
          <w:rFonts w:ascii="Times New Roman" w:hAnsi="Times New Roman"/>
          <w:sz w:val="28"/>
        </w:rPr>
        <w:t>Во второй главе по единой авторской методике проанализированы цифровые каналы и факторы экономической безопасности модельной группы. Введены авторские показатели — коэффициент цифровой интенсивности и индекс цифрового доверия. Значения индекса по группе составили от 0,43 до 0,86 и положительно коррелируют с долей выручки от онлайн-канала. Самой распространённой проблемой оказалось отсутствие программ обучения персонала кибергигиене — в среднем лишь 20 % зрелости этой меры.</w:t>
      </w:r>
    </w:p>
    <w:p>
      <w:pPr>
        <w:jc w:val="both"/>
      </w:pPr>
      <w:r>
        <w:rPr>
          <w:rFonts w:ascii="Times New Roman" w:hAnsi="Times New Roman"/>
          <w:i/>
          <w:sz w:val="24"/>
        </w:rPr>
        <w:t xml:space="preserve">[Слайд 7] </w:t>
      </w:r>
      <w:r>
        <w:rPr>
          <w:rFonts w:ascii="Times New Roman" w:hAnsi="Times New Roman"/>
          <w:sz w:val="28"/>
        </w:rPr>
        <w:t>Систематизированы ключевые уязвимости: неполная защита платежей антифрод-модулями, пропуски в работе с маркировкой «Честный знак», восприимчивость медицинского и стоматологического профиля к фишингу, рост доли оспоренных платежей и появление фишинговых копий сайтов предприятий.</w:t>
      </w:r>
    </w:p>
    <w:p>
      <w:pPr>
        <w:jc w:val="both"/>
      </w:pPr>
      <w:r>
        <w:rPr>
          <w:rFonts w:ascii="Times New Roman" w:hAnsi="Times New Roman"/>
          <w:i/>
          <w:sz w:val="24"/>
        </w:rPr>
        <w:t xml:space="preserve">[Слайд 8] </w:t>
      </w:r>
      <w:r>
        <w:rPr>
          <w:rFonts w:ascii="Times New Roman" w:hAnsi="Times New Roman"/>
          <w:sz w:val="28"/>
        </w:rPr>
        <w:t>В третьей главе разработана программа концептуальных предложений по четырёхзвенной формуле: профилактика, аналитика, цифровой мониторинг и межведомственный обмен данными. Она включает семь мероприятий и полностью укладывается в действующие полномочия ОЭБиПК — без расширения функций за пределы ФЗ № 3-ФЗ «О полиции» и ФЗ № 273-ФЗ «О противодействии коррупции».</w:t>
      </w:r>
    </w:p>
    <w:p>
      <w:pPr>
        <w:jc w:val="both"/>
      </w:pPr>
      <w:r>
        <w:rPr>
          <w:rFonts w:ascii="Times New Roman" w:hAnsi="Times New Roman"/>
          <w:i/>
          <w:sz w:val="24"/>
        </w:rPr>
        <w:t xml:space="preserve">[Слайд 9] </w:t>
      </w:r>
      <w:r>
        <w:rPr>
          <w:rFonts w:ascii="Times New Roman" w:hAnsi="Times New Roman"/>
          <w:sz w:val="28"/>
        </w:rPr>
        <w:t>Эффективность оценена по модели «до — после»: в среднем по группе прогнозируется рост выручки от онлайн-канала на 31,9 %, чистой прибыли — на 89,4 % при сокращении потерь от мошенничества на 80,3 %. Интегральный коэффициент экономической отдачи в базовом сценарии равен 9,5 — около десяти рублей эффекта на каждый рубль затрат; чистый дисконтированный доход составил порядка 9,25 млн рублей, срок окупаемости — 5,3 месяца.</w:t>
      </w:r>
    </w:p>
    <w:p>
      <w:pPr>
        <w:jc w:val="both"/>
      </w:pPr>
      <w:r>
        <w:rPr>
          <w:rFonts w:ascii="Times New Roman" w:hAnsi="Times New Roman"/>
          <w:i/>
          <w:sz w:val="24"/>
        </w:rPr>
        <w:t xml:space="preserve">[Слайд 10] </w:t>
      </w:r>
      <w:r>
        <w:rPr>
          <w:rFonts w:ascii="Times New Roman" w:hAnsi="Times New Roman"/>
          <w:sz w:val="28"/>
        </w:rPr>
        <w:t>Практическая значимость работы в том, что предложенные решения готовы к внедрению уже сейчас и могут тиражироваться за пределами округа, а научная новизна выражена во введении индекса цифрового доверия, коэффициента цифровой интенсивности и коэффициента экономической отдачи. Таким образом, цель работы достигнута, гипотеза подтверждена.</w:t>
      </w:r>
    </w:p>
    <w:p>
      <w:pPr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Доклад окончен. Спасибо за внимание!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