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 w:after="240"/>
        <w:ind w:hanging="0"/>
        <w:jc w:val="center"/>
        <w:rPr/>
      </w:pPr>
      <w:bookmarkStart w:id="0" w:name="выпускная-квалификационная-работа"/>
      <w:r>
        <w:rPr>
          <w:b/>
          <w:color w:val="000000"/>
          <w:sz w:val="28"/>
        </w:rPr>
        <w:t>ВЫПУСКНАЯ КВАЛИФИКАЦИОННАЯ РАБОТА</w:t>
      </w:r>
    </w:p>
    <w:p>
      <w:pPr>
        <w:pStyle w:val="FirstParagraph"/>
        <w:spacing w:lineRule="auto" w:line="360"/>
        <w:ind w:firstLine="709"/>
        <w:jc w:val="both"/>
        <w:rPr/>
      </w:pPr>
      <w:r>
        <w:rPr>
          <w:b/>
          <w:bCs/>
          <w:sz w:val="28"/>
        </w:rPr>
        <w:t>Тема:</w:t>
      </w:r>
      <w:r>
        <w:rPr>
          <w:sz w:val="28"/>
        </w:rPr>
        <w:t xml:space="preserve"> Организация коммерческой деятельности в сети фирменных магазинов промышленного предприятия (на примере АО «ВИТА ЛАЙФ», Московская область, г. Видное)</w:t>
      </w:r>
    </w:p>
    <w:p>
      <w:pPr>
        <w:pStyle w:val="BodyText"/>
        <w:spacing w:lineRule="auto" w:line="360"/>
        <w:ind w:firstLine="709"/>
        <w:jc w:val="both"/>
        <w:rPr/>
      </w:pPr>
      <w:r>
        <w:rPr>
          <w:b/>
          <w:bCs/>
          <w:sz w:val="28"/>
        </w:rPr>
        <w:t>Исполнитель:</w:t>
      </w:r>
      <w:r>
        <w:rPr>
          <w:sz w:val="28"/>
        </w:rPr>
        <w:t xml:space="preserve"> обучающийся выпускного курса</w:t>
      </w:r>
    </w:p>
    <w:p>
      <w:pPr>
        <w:pStyle w:val="BodyText"/>
        <w:spacing w:lineRule="auto" w:line="360"/>
        <w:ind w:firstLine="709"/>
        <w:jc w:val="both"/>
        <w:rPr/>
      </w:pPr>
      <w:r>
        <w:rPr>
          <w:b/>
          <w:bCs/>
          <w:sz w:val="28"/>
        </w:rPr>
        <w:t>Научный руководитель:</w:t>
      </w:r>
      <w:r>
        <w:rPr>
          <w:sz w:val="28"/>
        </w:rPr>
        <w:t xml:space="preserve"> ______________________</w:t>
      </w:r>
    </w:p>
    <w:p>
      <w:pPr>
        <w:pStyle w:val="BodyText"/>
        <w:spacing w:lineRule="auto" w:line="360"/>
        <w:ind w:firstLine="709"/>
        <w:jc w:val="both"/>
        <w:rPr/>
      </w:pPr>
      <w:r>
        <w:rPr>
          <w:b/>
          <w:bCs/>
          <w:sz w:val="28"/>
        </w:rPr>
        <w:t>Москва, 2026</w:t>
      </w:r>
    </w:p>
    <w:p>
      <w:pPr>
        <w:pStyle w:val="Normal"/>
        <w:spacing w:lineRule="auto" w:line="360" w:before="240" w:after="240"/>
        <w:ind w:hanging="0"/>
        <w:jc w:val="center"/>
        <w:rPr/>
      </w:pPr>
      <w:bookmarkStart w:id="1" w:name="оглавление"/>
      <w:bookmarkEnd w:id="1"/>
      <w:r>
        <w:rPr>
          <w:b/>
          <w:color w:val="000000"/>
          <w:sz w:val="28"/>
        </w:rPr>
        <w:t>ОГЛАВЛЕНИЕ</w:t>
      </w:r>
    </w:p>
    <w:sdt>
      <w:sdtPr>
        <w:docPartObj>
          <w:docPartGallery w:val="Table of Contents"/>
          <w:docPartUnique w:val="true"/>
        </w:docPartObj>
      </w:sdtPr>
      <w:sdtContent>
        <w:p>
          <w:pPr>
            <w:pStyle w:val="TOC2"/>
            <w:tabs>
              <w:tab w:val="clear" w:pos="9300"/>
              <w:tab w:val="right" w:pos="9688" w:leader="dot"/>
            </w:tabs>
            <w:rPr/>
          </w:pPr>
          <w:r>
            <w:fldChar w:fldCharType="begin"/>
          </w:r>
          <w:r>
            <w:rPr>
              <w:webHidden/>
              <w:rStyle w:val="IndexLink"/>
            </w:rPr>
            <w:instrText xml:space="preserve"> TOC \z \o "1-3" \u \h</w:instrText>
          </w:r>
          <w:r>
            <w:rPr>
              <w:webHidden/>
              <w:rStyle w:val="IndexLink"/>
            </w:rPr>
            <w:fldChar w:fldCharType="separate"/>
          </w:r>
          <w:hyperlink w:anchor="__RefHeading___Toc8715_1604219493">
            <w:bookmarkStart w:id="2" w:name="оглавление"/>
            <w:bookmarkEnd w:id="2"/>
            <w:r>
              <w:rPr>
                <w:webHidden/>
                <w:rStyle w:val="IndexLink"/>
              </w:rPr>
              <w:t>ВВЕДЕНИЕ</w:t>
              <w:tab/>
              <w:t>2</w:t>
            </w:r>
          </w:hyperlink>
        </w:p>
        <w:p>
          <w:pPr>
            <w:pStyle w:val="TOC2"/>
            <w:tabs>
              <w:tab w:val="clear" w:pos="9300"/>
              <w:tab w:val="right" w:pos="9688" w:leader="dot"/>
            </w:tabs>
            <w:rPr/>
          </w:pPr>
          <w:hyperlink w:anchor="__RefHeading___Toc8717_1604219493">
            <w:r>
              <w:rPr>
                <w:webHidden/>
                <w:rStyle w:val="IndexLink"/>
              </w:rPr>
              <w:t>ГЛАВА 1. ТЕОРЕТИЧЕСКИЕ ОСНОВЫ ОРГАНИЗАЦИИ КОММЕРЧЕСКОЙ ДЕЯТЕЛЬНОСТИ В СЕТИ ФИРМЕННЫХ МАГАЗИНОВ ПРОМЫШЛЕННОГО ПРЕДПРИЯТИЯ</w:t>
              <w:tab/>
              <w:t>6</w:t>
            </w:r>
          </w:hyperlink>
        </w:p>
        <w:p>
          <w:pPr>
            <w:pStyle w:val="TOC3"/>
            <w:tabs>
              <w:tab w:val="clear" w:pos="9300"/>
              <w:tab w:val="right" w:pos="9688" w:leader="dot"/>
            </w:tabs>
            <w:rPr/>
          </w:pPr>
          <w:hyperlink w:anchor="__RefHeading___Toc8719_1604219493">
            <w:r>
              <w:rPr>
                <w:webHidden/>
                <w:rStyle w:val="IndexLink"/>
              </w:rPr>
              <w:t>1.1 Сущность и содержание коммерческой деятельности промышленного предприятия</w:t>
              <w:tab/>
              <w:t>6</w:t>
            </w:r>
          </w:hyperlink>
        </w:p>
        <w:p>
          <w:pPr>
            <w:pStyle w:val="TOC3"/>
            <w:tabs>
              <w:tab w:val="clear" w:pos="9300"/>
              <w:tab w:val="right" w:pos="9688" w:leader="dot"/>
            </w:tabs>
            <w:rPr/>
          </w:pPr>
          <w:hyperlink w:anchor="__RefHeading___Toc8721_1604219493">
            <w:r>
              <w:rPr>
                <w:webHidden/>
                <w:rStyle w:val="IndexLink"/>
              </w:rPr>
              <w:t>1.2 Понятие, виды и функции сети фирменных магазинов промышленного предприятия</w:t>
              <w:tab/>
              <w:t>10</w:t>
            </w:r>
          </w:hyperlink>
        </w:p>
        <w:p>
          <w:pPr>
            <w:pStyle w:val="TOC3"/>
            <w:tabs>
              <w:tab w:val="clear" w:pos="9300"/>
              <w:tab w:val="right" w:pos="9688" w:leader="dot"/>
            </w:tabs>
            <w:rPr/>
          </w:pPr>
          <w:hyperlink w:anchor="__RefHeading___Toc8723_1604219493">
            <w:r>
              <w:rPr>
                <w:webHidden/>
                <w:rStyle w:val="IndexLink"/>
              </w:rPr>
              <w:t>1.3 Методические подходы к организации коммерческой деятельности и оценке её эффективности</w:t>
              <w:tab/>
              <w:t>15</w:t>
            </w:r>
          </w:hyperlink>
        </w:p>
        <w:p>
          <w:pPr>
            <w:pStyle w:val="TOC2"/>
            <w:tabs>
              <w:tab w:val="clear" w:pos="9300"/>
              <w:tab w:val="right" w:pos="9688" w:leader="dot"/>
            </w:tabs>
            <w:rPr/>
          </w:pPr>
          <w:hyperlink w:anchor="__RefHeading___Toc8725_1604219493">
            <w:r>
              <w:rPr>
                <w:webHidden/>
                <w:rStyle w:val="IndexLink"/>
              </w:rPr>
              <w:t>ГЛАВА 2. АНАЛИЗ ХОЗЯЙСТВЕННОЙ ДЕЯТЕЛЬНОСТИ АО «ВИТА ЛАЙФ» КАК БАЗЫ ДЛЯ РАЗВИТИЯ ФИРМЕННОЙ РОЗНИЧНОЙ СЕТИ</w:t>
              <w:tab/>
              <w:t>20</w:t>
            </w:r>
          </w:hyperlink>
        </w:p>
        <w:p>
          <w:pPr>
            <w:pStyle w:val="TOC3"/>
            <w:tabs>
              <w:tab w:val="clear" w:pos="9300"/>
              <w:tab w:val="right" w:pos="9688" w:leader="dot"/>
            </w:tabs>
            <w:rPr/>
          </w:pPr>
          <w:hyperlink w:anchor="__RefHeading___Toc8727_1604219493">
            <w:r>
              <w:rPr>
                <w:webHidden/>
                <w:rStyle w:val="IndexLink"/>
              </w:rPr>
              <w:t>2.1 Организационно-экономическая характеристика АО «ВИТА ЛАЙФ»</w:t>
              <w:tab/>
              <w:t>20</w:t>
            </w:r>
          </w:hyperlink>
        </w:p>
        <w:p>
          <w:pPr>
            <w:pStyle w:val="TOC3"/>
            <w:tabs>
              <w:tab w:val="clear" w:pos="9300"/>
              <w:tab w:val="right" w:pos="9688" w:leader="dot"/>
            </w:tabs>
            <w:rPr/>
          </w:pPr>
          <w:hyperlink w:anchor="__RefHeading___Toc8729_1604219493">
            <w:r>
              <w:rPr>
                <w:webHidden/>
                <w:rStyle w:val="IndexLink"/>
              </w:rPr>
              <w:t>2.2 Анализ финансовых результатов и имущественного потенциала за 2022–2025 гг</w:t>
              <w:tab/>
              <w:t>24</w:t>
            </w:r>
          </w:hyperlink>
        </w:p>
        <w:p>
          <w:pPr>
            <w:pStyle w:val="TOC3"/>
            <w:tabs>
              <w:tab w:val="clear" w:pos="9300"/>
              <w:tab w:val="right" w:pos="9688" w:leader="dot"/>
            </w:tabs>
            <w:rPr/>
          </w:pPr>
          <w:hyperlink w:anchor="__RefHeading___Toc8731_1604219493">
            <w:r>
              <w:rPr>
                <w:webHidden/>
                <w:rStyle w:val="IndexLink"/>
              </w:rPr>
              <w:t>2.3 SWOT- и PEST-анализ внешней и внутренней среды</w:t>
              <w:tab/>
              <w:t>29</w:t>
            </w:r>
          </w:hyperlink>
        </w:p>
        <w:p>
          <w:pPr>
            <w:pStyle w:val="TOC2"/>
            <w:tabs>
              <w:tab w:val="clear" w:pos="9300"/>
              <w:tab w:val="right" w:pos="9688" w:leader="dot"/>
            </w:tabs>
            <w:rPr/>
          </w:pPr>
          <w:hyperlink w:anchor="__RefHeading___Toc8733_1604219493">
            <w:r>
              <w:rPr>
                <w:webHidden/>
                <w:rStyle w:val="IndexLink"/>
              </w:rPr>
              <w:t>ГЛАВА 3. ПРОЕКТ ОРГАНИЗАЦИИ СЕТИ ФИРМЕННЫХ МАГАЗИНОВ АО «ВИТА ЛАЙФ» В РАМКАХ НОВОГО ПРОИЗВОДСТВЕННОГО НАПРАВЛЕНИЯ</w:t>
              <w:tab/>
              <w:t>34</w:t>
            </w:r>
          </w:hyperlink>
        </w:p>
        <w:p>
          <w:pPr>
            <w:pStyle w:val="TOC3"/>
            <w:tabs>
              <w:tab w:val="clear" w:pos="9300"/>
              <w:tab w:val="right" w:pos="9688" w:leader="dot"/>
            </w:tabs>
            <w:rPr/>
          </w:pPr>
          <w:hyperlink w:anchor="__RefHeading___Toc8735_1604219493">
            <w:r>
              <w:rPr>
                <w:webHidden/>
                <w:rStyle w:val="IndexLink"/>
              </w:rPr>
              <w:t>3.1 Концепция проекта и описание продукции производственного направления</w:t>
              <w:tab/>
              <w:t>34</w:t>
            </w:r>
          </w:hyperlink>
        </w:p>
        <w:p>
          <w:pPr>
            <w:pStyle w:val="TOC3"/>
            <w:tabs>
              <w:tab w:val="clear" w:pos="9300"/>
              <w:tab w:val="right" w:pos="9688" w:leader="dot"/>
            </w:tabs>
            <w:rPr/>
          </w:pPr>
          <w:hyperlink w:anchor="__RefHeading___Toc8737_1604219493">
            <w:r>
              <w:rPr>
                <w:webHidden/>
                <w:rStyle w:val="IndexLink"/>
              </w:rPr>
              <w:t>3.2 Организационно-коммерческая модель сети фирменных магазинов</w:t>
              <w:tab/>
              <w:t>40</w:t>
            </w:r>
          </w:hyperlink>
        </w:p>
        <w:p>
          <w:pPr>
            <w:pStyle w:val="TOC3"/>
            <w:tabs>
              <w:tab w:val="clear" w:pos="9300"/>
              <w:tab w:val="right" w:pos="9688" w:leader="dot"/>
            </w:tabs>
            <w:rPr/>
          </w:pPr>
          <w:hyperlink w:anchor="__RefHeading___Toc8739_1604219493">
            <w:r>
              <w:rPr>
                <w:webHidden/>
                <w:rStyle w:val="IndexLink"/>
              </w:rPr>
              <w:t>3.3 Экономическое обоснование проекта и анализ рисков</w:t>
              <w:tab/>
              <w:t>50</w:t>
            </w:r>
          </w:hyperlink>
        </w:p>
        <w:p>
          <w:pPr>
            <w:pStyle w:val="TOC2"/>
            <w:tabs>
              <w:tab w:val="clear" w:pos="9300"/>
              <w:tab w:val="right" w:pos="9688" w:leader="dot"/>
            </w:tabs>
            <w:rPr/>
          </w:pPr>
          <w:hyperlink w:anchor="__RefHeading___Toc8741_1604219493">
            <w:r>
              <w:rPr>
                <w:webHidden/>
                <w:rStyle w:val="IndexLink"/>
              </w:rPr>
              <w:t>ЗАКЛЮЧЕНИЕ</w:t>
              <w:tab/>
              <w:t>58</w:t>
            </w:r>
          </w:hyperlink>
        </w:p>
        <w:p>
          <w:pPr>
            <w:pStyle w:val="TOC2"/>
            <w:tabs>
              <w:tab w:val="clear" w:pos="9300"/>
              <w:tab w:val="right" w:pos="9688" w:leader="dot"/>
            </w:tabs>
            <w:rPr/>
          </w:pPr>
          <w:hyperlink w:anchor="__RefHeading___Toc8743_1604219493">
            <w:r>
              <w:rPr>
                <w:webHidden/>
                <w:rStyle w:val="IndexLink"/>
              </w:rPr>
              <w:t>СПИСОК ИСПОЛЬЗОВАННЫХ ИСТОЧНИКОВ</w:t>
              <w:tab/>
              <w:t>62</w:t>
            </w:r>
          </w:hyperlink>
        </w:p>
        <w:p>
          <w:pPr>
            <w:pStyle w:val="TOC2"/>
            <w:tabs>
              <w:tab w:val="clear" w:pos="9300"/>
              <w:tab w:val="right" w:pos="9688" w:leader="dot"/>
            </w:tabs>
            <w:rPr/>
          </w:pPr>
          <w:hyperlink w:anchor="__RefHeading___Toc8745_1604219493">
            <w:r>
              <w:rPr>
                <w:webHidden/>
                <w:rStyle w:val="IndexLink"/>
              </w:rPr>
              <w:t>ПРИЛОЖЕНИЯ</w:t>
              <w:tab/>
              <w:t>67</w:t>
            </w:r>
          </w:hyperlink>
          <w:r>
            <w:rPr>
              <w:rStyle w:val="IndexLink"/>
            </w:rPr>
            <w:fldChar w:fldCharType="end"/>
          </w:r>
        </w:p>
      </w:sdtContent>
    </w:sdt>
    <w:p>
      <w:pPr>
        <w:pStyle w:val="Heading2"/>
        <w:spacing w:lineRule="auto" w:line="360"/>
        <w:ind w:hanging="0"/>
        <w:jc w:val="center"/>
        <w:rPr/>
      </w:pPr>
      <w:bookmarkStart w:id="3" w:name="__RefHeading___Toc8715_1604219493"/>
      <w:bookmarkStart w:id="4" w:name="введение"/>
      <w:bookmarkEnd w:id="3"/>
      <w:r>
        <w:rPr>
          <w:rFonts w:ascii="Times New Roman" w:hAnsi="Times New Roman"/>
          <w:b/>
          <w:color w:val="000000"/>
          <w:sz w:val="28"/>
        </w:rPr>
        <w:t>ВВЕДЕНИЕ</w:t>
      </w:r>
    </w:p>
    <w:p>
      <w:pPr>
        <w:pStyle w:val="FirstParagraph"/>
        <w:spacing w:lineRule="auto" w:line="360"/>
        <w:ind w:firstLine="709"/>
        <w:jc w:val="both"/>
        <w:rPr/>
      </w:pPr>
      <w:r>
        <w:rPr>
          <w:sz w:val="28"/>
        </w:rPr>
        <w:t>Современный этап развития российской экономики характеризуется усилением конкурентной борьбы в розничных каналах сбыта, ростом требований потребителей к качеству продукции и сервиса, ускоренной цифровизацией торговых операций и одновременной трансформацией стратегий промышленных предприятий, которые всё чаще выходят за рамки традиционной модели сбыта через посредников и формируют собственные розничные сети. Сеть фирменных магазинов выступает важнейшим инструментом коммерческой политики промышленного предприятия, обеспечивая прямой контакт с потребителем, контроль над уровнем розничных цен, формирование лояльности к бренду, повышение маржинальности и снижение зависимости от внешних дистрибьюторов. В условиях санкционного давления, ограничения присутствия иностранных торговых сетей и государственной политики поддержки отечественного производителя организация собственной фирменной розницы становится одним из ключевых направлений развития коммерческой деятельности производственных компаний.</w:t>
      </w:r>
    </w:p>
    <w:p>
      <w:pPr>
        <w:pStyle w:val="BodyText"/>
        <w:spacing w:lineRule="auto" w:line="360"/>
        <w:ind w:firstLine="709"/>
        <w:jc w:val="both"/>
        <w:rPr/>
      </w:pPr>
      <w:r>
        <w:rPr>
          <w:sz w:val="28"/>
        </w:rPr>
        <w:t>Актуальность темы исследования обусловлена двумя обстоятельствами. Во-первых, в условиях структурной трансформации потребительского рынка Российской Федерации многие промышленные предприятия рассматривают создание сети фирменных магазинов как способ повышения устойчивости бизнеса и формирования дополнительной потребительской ценности. Во-вторых, ряд компаний, обладающих недвижимостью в коммерчески привлекательных локациях Московской агломерации, имеет потенциал к стратегической диверсификации путём развития производственно-сбытового направления. Указанная задача наиболее ярко проявляется на примере АО «ВИТА ЛАЙФ» (Московская область, г. Видное), располагающего собственным имущественным комплексом и формирующего стратегию долгосрочного развития бизнеса.</w:t>
      </w:r>
    </w:p>
    <w:p>
      <w:pPr>
        <w:pStyle w:val="BodyText"/>
        <w:spacing w:lineRule="auto" w:line="360"/>
        <w:ind w:firstLine="709"/>
        <w:jc w:val="both"/>
        <w:rPr/>
      </w:pPr>
      <w:r>
        <w:rPr>
          <w:sz w:val="28"/>
        </w:rPr>
        <w:t>Степень научной разработанности темы достаточно высока. Теоретические основы коммерческой деятельности, организации каналов товародвижения и фирменной розничной торговли раскрыты в трудах Ф. Котлера, М. Портера, Л. В. Осиповой, И. М. Синяевой, О. А. Новикова, В. В. Никишкина, А. Д. Шеремета, Б. А. Аникина, В. К. Памбухчиянца, Ф. Г. Панкратова, Г. Г. Левкина, А. У. Альбекова. Прикладные аспекты построения сетей фирменной розницы промышленных предприятий исследованы в работах С. В. Земляка, Ю. К. Баженова, Н. В. Хохлова. Несмотря на наличие обширной теоретической базы, проблема комплексной организации коммерческой деятельности фирменной розничной сети с учётом условий малого и среднего предприятия, реализующего стратегию диверсификации, изучена фрагментарно, что подтверждает целесообразность настоящего исследования.</w:t>
      </w:r>
    </w:p>
    <w:p>
      <w:pPr>
        <w:pStyle w:val="BodyText"/>
        <w:spacing w:lineRule="auto" w:line="360"/>
        <w:ind w:firstLine="709"/>
        <w:jc w:val="both"/>
        <w:rPr/>
      </w:pPr>
      <w:r>
        <w:rPr>
          <w:sz w:val="28"/>
        </w:rPr>
        <w:t>Объект исследования — финансово-хозяйственная деятельность АО «ВИТА ЛАЙФ» (ИНН 7719285076, Московская область, г. Видное).</w:t>
      </w:r>
    </w:p>
    <w:p>
      <w:pPr>
        <w:pStyle w:val="BodyText"/>
        <w:spacing w:lineRule="auto" w:line="360"/>
        <w:ind w:firstLine="709"/>
        <w:jc w:val="both"/>
        <w:rPr/>
      </w:pPr>
      <w:r>
        <w:rPr>
          <w:sz w:val="28"/>
        </w:rPr>
        <w:t>Предмет исследования — совокупность теоретических, методических и практических положений, связанных с организацией коммерческой деятельности в сети фирменных магазинов промышленного предприятия.</w:t>
      </w:r>
    </w:p>
    <w:p>
      <w:pPr>
        <w:pStyle w:val="BodyText"/>
        <w:spacing w:lineRule="auto" w:line="360"/>
        <w:ind w:firstLine="709"/>
        <w:jc w:val="both"/>
        <w:rPr/>
      </w:pPr>
      <w:r>
        <w:rPr>
          <w:sz w:val="28"/>
        </w:rPr>
        <w:t>Цель исследования — разработка организационно-коммерческой модели сети фирменных магазинов АО «ВИТА ЛАЙФ» в рамках формируемого производственно-сбытового направления и оценка её экономической эффективности.</w:t>
      </w:r>
    </w:p>
    <w:p>
      <w:pPr>
        <w:pStyle w:val="BodyText"/>
        <w:spacing w:lineRule="auto" w:line="360"/>
        <w:ind w:firstLine="709"/>
        <w:jc w:val="both"/>
        <w:rPr/>
      </w:pPr>
      <w:r>
        <w:rPr>
          <w:sz w:val="28"/>
        </w:rPr>
        <w:t>Для достижения поставленной цели сформулированы следующие задачи:</w:t>
      </w:r>
    </w:p>
    <w:p>
      <w:pPr>
        <w:pStyle w:val="Compact"/>
        <w:numPr>
          <w:ilvl w:val="0"/>
          <w:numId w:val="1"/>
        </w:numPr>
        <w:spacing w:lineRule="auto" w:line="360"/>
        <w:ind w:firstLine="709"/>
        <w:jc w:val="both"/>
        <w:rPr/>
      </w:pPr>
      <w:r>
        <w:rPr>
          <w:sz w:val="28"/>
        </w:rPr>
        <w:t>раскрыть теоретическую сущность, функции и принципы коммерческой деятельности промышленного предприятия;</w:t>
      </w:r>
    </w:p>
    <w:p>
      <w:pPr>
        <w:pStyle w:val="Compact"/>
        <w:numPr>
          <w:ilvl w:val="0"/>
          <w:numId w:val="1"/>
        </w:numPr>
        <w:spacing w:lineRule="auto" w:line="360"/>
        <w:ind w:firstLine="709"/>
        <w:jc w:val="both"/>
        <w:rPr/>
      </w:pPr>
      <w:r>
        <w:rPr>
          <w:sz w:val="28"/>
        </w:rPr>
        <w:t>систематизировать понятия, виды и функции сети фирменных магазинов как формы прямого сбыта продукции;</w:t>
      </w:r>
    </w:p>
    <w:p>
      <w:pPr>
        <w:pStyle w:val="Compact"/>
        <w:numPr>
          <w:ilvl w:val="0"/>
          <w:numId w:val="1"/>
        </w:numPr>
        <w:spacing w:lineRule="auto" w:line="360"/>
        <w:ind w:firstLine="709"/>
        <w:jc w:val="both"/>
        <w:rPr/>
      </w:pPr>
      <w:r>
        <w:rPr>
          <w:sz w:val="28"/>
        </w:rPr>
        <w:t>исследовать методические подходы к организации коммерческой деятельности и оценке её эффективности;</w:t>
      </w:r>
    </w:p>
    <w:p>
      <w:pPr>
        <w:pStyle w:val="Compact"/>
        <w:numPr>
          <w:ilvl w:val="0"/>
          <w:numId w:val="1"/>
        </w:numPr>
        <w:spacing w:lineRule="auto" w:line="360"/>
        <w:ind w:firstLine="709"/>
        <w:jc w:val="both"/>
        <w:rPr/>
      </w:pPr>
      <w:r>
        <w:rPr>
          <w:sz w:val="28"/>
        </w:rPr>
        <w:t>дать организационно-экономическую характеристику АО «ВИТА ЛАЙФ» и проанализировать его финансовые результаты за 2022–2025 гг;</w:t>
      </w:r>
    </w:p>
    <w:p>
      <w:pPr>
        <w:pStyle w:val="Compact"/>
        <w:numPr>
          <w:ilvl w:val="0"/>
          <w:numId w:val="1"/>
        </w:numPr>
        <w:spacing w:lineRule="auto" w:line="360"/>
        <w:ind w:firstLine="709"/>
        <w:jc w:val="both"/>
        <w:rPr/>
      </w:pPr>
      <w:r>
        <w:rPr>
          <w:sz w:val="28"/>
        </w:rPr>
        <w:t>провести SWOT- и PEST-анализ внешней и внутренней среды предприятия;</w:t>
      </w:r>
    </w:p>
    <w:p>
      <w:pPr>
        <w:pStyle w:val="Compact"/>
        <w:numPr>
          <w:ilvl w:val="0"/>
          <w:numId w:val="1"/>
        </w:numPr>
        <w:spacing w:lineRule="auto" w:line="360"/>
        <w:ind w:firstLine="709"/>
        <w:jc w:val="both"/>
        <w:rPr/>
      </w:pPr>
      <w:r>
        <w:rPr>
          <w:sz w:val="28"/>
        </w:rPr>
        <w:t>разработать организационно-коммерческую модель сети фирменных магазинов, включающую концепцию формата, ассортиментную, ценовую, логистическую и кадровую политику;</w:t>
      </w:r>
    </w:p>
    <w:p>
      <w:pPr>
        <w:pStyle w:val="Compact"/>
        <w:numPr>
          <w:ilvl w:val="0"/>
          <w:numId w:val="1"/>
        </w:numPr>
        <w:spacing w:lineRule="auto" w:line="360"/>
        <w:ind w:firstLine="709"/>
        <w:jc w:val="both"/>
        <w:rPr/>
      </w:pPr>
      <w:r>
        <w:rPr>
          <w:sz w:val="28"/>
        </w:rPr>
        <w:t>рассчитать показатели коммерческой эффективности проекта и провести анализ рисков.</w:t>
      </w:r>
    </w:p>
    <w:p>
      <w:pPr>
        <w:pStyle w:val="FirstParagraph"/>
        <w:spacing w:lineRule="auto" w:line="360"/>
        <w:ind w:firstLine="709"/>
        <w:jc w:val="both"/>
        <w:rPr/>
      </w:pPr>
      <w:r>
        <w:rPr>
          <w:sz w:val="28"/>
        </w:rPr>
        <w:t>Гипотеза исследования: создание сети из пяти фирменных магазинов на базе собственного имущественного комплекса АО «ВИТА ЛАЙФ» при условии запуска производственного направления функциональных напитков и продуктов здорового питания обеспечивает положительное значение чистого дисконтированного дохода на пятилетнем горизонте планирования при ставке дисконтирования, соответствующей средневзвешенной стоимости капитала предприятия, и формирует устойчивый прирост валовой маржинальности по выделяемому ассортименту не менее чем на 10 процентных пунктов относительно базового уровня дистрибутивных продаж.</w:t>
      </w:r>
    </w:p>
    <w:p>
      <w:pPr>
        <w:pStyle w:val="BodyText"/>
        <w:spacing w:lineRule="auto" w:line="360"/>
        <w:ind w:firstLine="709"/>
        <w:jc w:val="both"/>
        <w:rPr/>
      </w:pPr>
      <w:r>
        <w:rPr>
          <w:sz w:val="28"/>
        </w:rPr>
        <w:t>Методологическую основу исследования составляют общенаучные методы (анализ, синтез, индукция, дедукция, аналогия), а также специальные методы экономических исследований: горизонтальный и вертикальный анализ бухгалтерской отчётности, коэффициентный анализ, SWOT- и PEST-анализ, методы дисконтирования денежных потоков, сценарный анализ рисков, метод чувствительности, метод экспертных оценок.</w:t>
      </w:r>
    </w:p>
    <w:p>
      <w:pPr>
        <w:pStyle w:val="BodyText"/>
        <w:spacing w:lineRule="auto" w:line="360"/>
        <w:ind w:firstLine="709"/>
        <w:jc w:val="both"/>
        <w:rPr/>
      </w:pPr>
      <w:r>
        <w:rPr>
          <w:sz w:val="28"/>
        </w:rPr>
        <w:t>Информационную базу исследования составляют: нормативно-правовые акты Российской Федерации; данные Федеральной службы государственной статистики; отраслевые обзоры розничной торговли и сегмента функциональных напитков; публичная бухгалтерская отчётность АО «ВИТА ЛАЙФ» за 2022–2025 гг; данные ЕГРЮЛ, размещённые на портале ФНС России; материалы периодической печати и научных изданий.</w:t>
      </w:r>
    </w:p>
    <w:p>
      <w:pPr>
        <w:pStyle w:val="BodyText"/>
        <w:spacing w:lineRule="auto" w:line="360"/>
        <w:ind w:firstLine="709"/>
        <w:jc w:val="both"/>
        <w:rPr/>
      </w:pPr>
      <w:r>
        <w:rPr>
          <w:sz w:val="28"/>
        </w:rPr>
        <w:t>Теоретическая значимость работы заключается в систематизации подходов к организации коммерческой деятельности в сетях фирменных магазинов промышленных предприятий, обладающих собственным имущественным комплексом. Практическая значимость состоит в том, что разработанная модель может быть использована руководством АО «ВИТА ЛАЙФ» при принятии управленческого решения о развитии производственно-сбытового направления, а также адаптирована для применения в иных предприятиях со сходным профилем активов.</w:t>
      </w:r>
    </w:p>
    <w:p>
      <w:pPr>
        <w:pStyle w:val="BodyText"/>
        <w:spacing w:lineRule="auto" w:line="360"/>
        <w:ind w:firstLine="709"/>
        <w:jc w:val="both"/>
        <w:rPr/>
      </w:pPr>
      <w:bookmarkStart w:id="5" w:name="введение"/>
      <w:r>
        <w:rPr>
          <w:sz w:val="28"/>
        </w:rPr>
        <w:t>Структура работы. Выпускная квалификационная работа состоит из введения, трёх глав, заключения, списка использованных источников и приложений. Общий объём работы составляет 84 страницы машинописного текста, содержит 19 таблиц, 8 рисунков, 4 приложения. Список использованных источников включает 52 наименования.</w:t>
      </w:r>
      <w:bookmarkEnd w:id="5"/>
    </w:p>
    <w:p>
      <w:pPr>
        <w:pStyle w:val="Heading2"/>
        <w:spacing w:lineRule="auto" w:line="360"/>
        <w:ind w:hanging="0"/>
        <w:jc w:val="center"/>
        <w:rPr/>
      </w:pPr>
      <w:bookmarkStart w:id="6" w:name="__RefHeading___Toc8717_1604219493"/>
      <w:bookmarkStart w:id="7" w:name="X1e8b198cb40eccb57ffbe427e9d23321e5dc623"/>
      <w:bookmarkEnd w:id="6"/>
      <w:r>
        <w:rPr>
          <w:rFonts w:ascii="Times New Roman" w:hAnsi="Times New Roman"/>
          <w:b/>
          <w:color w:val="000000"/>
          <w:sz w:val="28"/>
        </w:rPr>
        <w:t>ГЛАВА 1. ТЕОРЕТИЧЕСКИЕ ОСНОВЫ ОРГАНИЗАЦИИ КОММЕРЧЕСКОЙ ДЕЯТЕЛЬНОСТИ В СЕТИ ФИРМЕННЫХ МАГАЗИНОВ ПРОМЫШЛЕННОГО ПРЕДПРИЯТИЯ</w:t>
      </w:r>
    </w:p>
    <w:p>
      <w:pPr>
        <w:pStyle w:val="Heading3"/>
        <w:spacing w:lineRule="auto" w:line="360"/>
        <w:ind w:hanging="0"/>
        <w:jc w:val="center"/>
        <w:rPr/>
      </w:pPr>
      <w:bookmarkStart w:id="8" w:name="__RefHeading___Toc8719_1604219493"/>
      <w:bookmarkStart w:id="9" w:name="X14ce8233b9237c78a99aafbccf4434469f7ca17"/>
      <w:bookmarkEnd w:id="8"/>
      <w:r>
        <w:rPr>
          <w:rFonts w:ascii="Times New Roman" w:hAnsi="Times New Roman"/>
          <w:b/>
          <w:color w:val="000000"/>
          <w:sz w:val="28"/>
        </w:rPr>
        <w:t>1.1 Сущность и содержание коммерческой деятельности промышленного предприятия</w:t>
      </w:r>
    </w:p>
    <w:p>
      <w:pPr>
        <w:pStyle w:val="FirstParagraph"/>
        <w:spacing w:lineRule="auto" w:line="360"/>
        <w:ind w:firstLine="709"/>
        <w:jc w:val="both"/>
        <w:rPr/>
      </w:pPr>
      <w:r>
        <w:rPr>
          <w:sz w:val="28"/>
        </w:rPr>
        <w:t>Коммерческая деятельность промышленного предприятия представляет собой совокупность взаимосвязанных операций, направленных на обеспечение бесперебойного движения товара от производителя к конечному потребителю и формирующих основной источник доходов предприятия. В работах Ф. Г. Панкратова и Т. К. Серегиной коммерческая деятельность определяется как «совокупность торгово-организационных операций по доведению товаров от производителя до потребителя с целью получения максимальной экономической выгоды при оптимизации сопутствующих издержек». В трудах Л. В. Осиповой и И. М. Синяевой коммерческая деятельность трактуется шире — как «комплекс операций предприятия, обеспечивающих эффективное использование собственных и привлечённых ресурсов в процессе купли-продажи товаров с целью получения прибыли». В. К. Памбухчиянц рассматривает коммерческую деятельность как «осуществляемую на возмездной основе предпринимательскую деятельность, связанную с куплей-продажей товаров и оказанием услуг покупателям».</w:t>
      </w:r>
    </w:p>
    <w:p>
      <w:pPr>
        <w:pStyle w:val="BodyText"/>
        <w:spacing w:lineRule="auto" w:line="360"/>
        <w:ind w:firstLine="709"/>
        <w:jc w:val="both"/>
        <w:rPr/>
      </w:pPr>
      <w:r>
        <w:rPr>
          <w:sz w:val="28"/>
        </w:rPr>
        <w:t>Обобщение приведённых определений позволяет сформулировать рабочее определение, используемое в настоящем исследовании: коммерческая деятельность промышленного предприятия — это система функционально связанных хозяйственных операций по организации сбыта произведённой продукции и приобретению материально-технических ресурсов, направленная на получение прибыли посредством обеспечения максимально полного удовлетворения потребностей конечного потребителя.</w:t>
      </w:r>
    </w:p>
    <w:p>
      <w:pPr>
        <w:pStyle w:val="BodyText"/>
        <w:spacing w:lineRule="auto" w:line="360"/>
        <w:ind w:firstLine="709"/>
        <w:jc w:val="both"/>
        <w:rPr/>
      </w:pPr>
      <w:r>
        <w:rPr>
          <w:sz w:val="28"/>
        </w:rPr>
        <w:t>Содержание коммерческой деятельности раскрывается через совокупность функций, выполняемых соответствующими подразделениями предприятия. К числу основных функций относятся следующие.</w:t>
      </w:r>
    </w:p>
    <w:p>
      <w:pPr>
        <w:pStyle w:val="Compact"/>
        <w:numPr>
          <w:ilvl w:val="0"/>
          <w:numId w:val="15"/>
        </w:numPr>
        <w:spacing w:lineRule="auto" w:line="360"/>
        <w:ind w:firstLine="709"/>
        <w:jc w:val="both"/>
        <w:rPr/>
      </w:pPr>
      <w:r>
        <w:rPr>
          <w:sz w:val="28"/>
        </w:rPr>
        <w:t>Сбытовая функция — формирование товарных потоков, организация хранения, отгрузки и доставки продукции; работа с каналами товародвижения, в том числе фирменной розницей.</w:t>
      </w:r>
    </w:p>
    <w:p>
      <w:pPr>
        <w:pStyle w:val="Compact"/>
        <w:numPr>
          <w:ilvl w:val="0"/>
          <w:numId w:val="16"/>
        </w:numPr>
        <w:spacing w:lineRule="auto" w:line="360"/>
        <w:ind w:firstLine="709"/>
        <w:jc w:val="both"/>
        <w:rPr/>
      </w:pPr>
      <w:r>
        <w:rPr>
          <w:sz w:val="28"/>
        </w:rPr>
        <w:t>Закупочная функция — обеспечение производства сырьём, материалами и комплектующими; формирование договорных отношений с поставщиками; контроль качества и сроков поставок.</w:t>
      </w:r>
    </w:p>
    <w:p>
      <w:pPr>
        <w:pStyle w:val="Compact"/>
        <w:numPr>
          <w:ilvl w:val="0"/>
          <w:numId w:val="17"/>
        </w:numPr>
        <w:spacing w:lineRule="auto" w:line="360"/>
        <w:ind w:firstLine="709"/>
        <w:jc w:val="both"/>
        <w:rPr/>
      </w:pPr>
      <w:r>
        <w:rPr>
          <w:sz w:val="28"/>
        </w:rPr>
        <w:t>Маркетинговая функция — изучение спроса, сегментация рынка, ценообразование, продвижение продукции, формирование и поддержание торговой марки.</w:t>
      </w:r>
    </w:p>
    <w:p>
      <w:pPr>
        <w:pStyle w:val="Compact"/>
        <w:numPr>
          <w:ilvl w:val="0"/>
          <w:numId w:val="18"/>
        </w:numPr>
        <w:spacing w:lineRule="auto" w:line="360"/>
        <w:ind w:firstLine="709"/>
        <w:jc w:val="both"/>
        <w:rPr/>
      </w:pPr>
      <w:r>
        <w:rPr>
          <w:sz w:val="28"/>
        </w:rPr>
        <w:t>Логистическая функция — управление материальными, информационными и финансовыми потоками в процессе товародвижения.</w:t>
      </w:r>
    </w:p>
    <w:p>
      <w:pPr>
        <w:pStyle w:val="Compact"/>
        <w:numPr>
          <w:ilvl w:val="0"/>
          <w:numId w:val="19"/>
        </w:numPr>
        <w:spacing w:lineRule="auto" w:line="360"/>
        <w:ind w:firstLine="709"/>
        <w:jc w:val="both"/>
        <w:rPr/>
      </w:pPr>
      <w:r>
        <w:rPr>
          <w:sz w:val="28"/>
        </w:rPr>
        <w:t>Финансово-расчётная функция — организация расчётов с покупателями и поставщиками, управление дебиторской и кредиторской задолженностью, контроль за исполнением договорных обязательств.</w:t>
      </w:r>
    </w:p>
    <w:p>
      <w:pPr>
        <w:pStyle w:val="Compact"/>
        <w:numPr>
          <w:ilvl w:val="0"/>
          <w:numId w:val="20"/>
        </w:numPr>
        <w:spacing w:lineRule="auto" w:line="360"/>
        <w:ind w:firstLine="709"/>
        <w:jc w:val="both"/>
        <w:rPr/>
      </w:pPr>
      <w:r>
        <w:rPr>
          <w:sz w:val="28"/>
        </w:rPr>
        <w:t>Аналитическая функция — учёт, контроль и анализ результатов коммерческой деятельности, формирование управленческой отчётности.</w:t>
      </w:r>
    </w:p>
    <w:p>
      <w:pPr>
        <w:pStyle w:val="FirstParagraph"/>
        <w:spacing w:lineRule="auto" w:line="360"/>
        <w:ind w:firstLine="709"/>
        <w:jc w:val="both"/>
        <w:rPr/>
      </w:pPr>
      <w:r>
        <w:rPr>
          <w:sz w:val="28"/>
        </w:rPr>
        <w:t>К коммерческой деятельности промышленного предприятия предъявляется ряд требований, систематизированных в работах Б. А. Аникина и А. У. Альбекова. Эти требования включают: ориентацию на конечного потребителя, гибкость и адаптивность к изменениям внешней среды, экономичность и инновационность торговых процессов, обеспеченность правовой и информационной защиты, соблюдение принципов социально-этического маркетинга.</w:t>
      </w:r>
    </w:p>
    <w:p>
      <w:pPr>
        <w:pStyle w:val="BodyText"/>
        <w:spacing w:lineRule="auto" w:line="360"/>
        <w:ind w:firstLine="709"/>
        <w:jc w:val="both"/>
        <w:rPr/>
      </w:pPr>
      <w:r>
        <w:rPr>
          <w:sz w:val="28"/>
        </w:rPr>
        <w:t>Принципы организации коммерческой деятельности промышленного предприятия включают принцип научной обоснованности (опора на исследования рынка и потребительского поведения), принцип системности (рассмотрение коммерческой деятельности как взаимосвязанной совокупности элементов), принцип эффективности (получение максимального экономического результата при минимизации издержек), принцип ответственности (соблюдение договорных и нормативно-правовых обязательств), принцип маневренности (способность оперативно перестраивать торговые процессы в ответ на изменение внешних условий).</w:t>
      </w:r>
    </w:p>
    <w:p>
      <w:pPr>
        <w:pStyle w:val="BodyText"/>
        <w:spacing w:lineRule="auto" w:line="360"/>
        <w:ind w:firstLine="709"/>
        <w:jc w:val="both"/>
        <w:rPr/>
      </w:pPr>
      <w:r>
        <w:rPr>
          <w:sz w:val="28"/>
        </w:rPr>
        <w:t>Структура коммерческой деятельности промышленного предприятия определяется выбранной моделью сбыта. В работах В. В. Никишкина выделяются три основные модели:</w:t>
      </w:r>
    </w:p>
    <w:p>
      <w:pPr>
        <w:pStyle w:val="Compact"/>
        <w:numPr>
          <w:ilvl w:val="0"/>
          <w:numId w:val="21"/>
        </w:numPr>
        <w:spacing w:lineRule="auto" w:line="360"/>
        <w:ind w:firstLine="709"/>
        <w:jc w:val="both"/>
        <w:rPr/>
      </w:pPr>
      <w:r>
        <w:rPr>
          <w:sz w:val="28"/>
        </w:rPr>
        <w:t>модель опосредованного сбыта, при которой производитель реализует продукцию через независимых оптовых и розничных операторов; преимуществом является широкий территориальный охват, ограничением — слабый контроль над розничной ценой и сервисом;</w:t>
      </w:r>
    </w:p>
    <w:p>
      <w:pPr>
        <w:pStyle w:val="Compact"/>
        <w:numPr>
          <w:ilvl w:val="0"/>
          <w:numId w:val="22"/>
        </w:numPr>
        <w:spacing w:lineRule="auto" w:line="360"/>
        <w:ind w:firstLine="709"/>
        <w:jc w:val="both"/>
        <w:rPr/>
      </w:pPr>
      <w:r>
        <w:rPr>
          <w:sz w:val="28"/>
        </w:rPr>
        <w:t>модель прямого сбыта, при которой производитель сам выходит на конечного потребителя, создавая собственные торговые точки, корпоративные интернет-площадки и сервис доставки; преимуществом является высокая маржинальность и контроль над брендом, ограничением — значительные затраты на создание инфраструктуры;</w:t>
      </w:r>
    </w:p>
    <w:p>
      <w:pPr>
        <w:pStyle w:val="Compact"/>
        <w:numPr>
          <w:ilvl w:val="0"/>
          <w:numId w:val="23"/>
        </w:numPr>
        <w:spacing w:lineRule="auto" w:line="360"/>
        <w:ind w:firstLine="709"/>
        <w:jc w:val="both"/>
        <w:rPr/>
      </w:pPr>
      <w:r>
        <w:rPr>
          <w:sz w:val="28"/>
        </w:rPr>
        <w:t>смешанная модель сбыта, сочетающая оба подхода и обеспечивающая баланс между территориальным охватом и контролем над сбытовым каналом.</w:t>
      </w:r>
    </w:p>
    <w:p>
      <w:pPr>
        <w:pStyle w:val="FirstParagraph"/>
        <w:spacing w:lineRule="auto" w:line="360"/>
        <w:ind w:firstLine="709"/>
        <w:jc w:val="both"/>
        <w:rPr/>
      </w:pPr>
      <w:r>
        <w:rPr>
          <w:sz w:val="28"/>
        </w:rPr>
        <w:t>Современная практика российских промышленных предприятий характеризуется опережающим ростом доли прямого сбыта через собственные розничные сети. По данным Министерства промышленности и торговли Российской Федерации, удельный вес фирменной розницы в общем объёме продаж производителей продовольственных товаров за 2020–2025 гг увеличился с 12,4 до 21,7 %, а в сегменте функциональных напитков и продуктов здорового питания — с 6,8 до 18,5 %. Указанные тенденции формируют объективную предпосылку для развития фирменных розничных сетей малыми и средними промышленными предприятиями, ранее не имевшими собственных каналов сбыта.</w:t>
      </w:r>
    </w:p>
    <w:p>
      <w:pPr>
        <w:pStyle w:val="BodyText"/>
        <w:spacing w:lineRule="auto" w:line="360"/>
        <w:ind w:firstLine="709"/>
        <w:jc w:val="both"/>
        <w:rPr/>
      </w:pPr>
      <w:r>
        <w:rPr>
          <w:sz w:val="28"/>
        </w:rPr>
        <w:t>Особое значение в современных условиях приобретает связь коммерческой деятельности промышленного предприятия с его стратегическим управлением. Бизнес-стратегия предприятия задаёт общие ориентиры развития, коммерческая политика конкретизирует их в виде ассортиментной, ценовой, сбытовой и коммуникационной программ, а оперативное управление коммерческой деятельностью обеспечивает реализацию указанных программ в виде ежедневных торговых операций. Несоблюдение указанной иерархии приводит к разрывам между декларируемой стратегией и фактическим распределением ресурсов.</w:t>
      </w:r>
    </w:p>
    <w:p>
      <w:pPr>
        <w:pStyle w:val="BodyText"/>
        <w:spacing w:lineRule="auto" w:line="360"/>
        <w:ind w:firstLine="709"/>
        <w:jc w:val="both"/>
        <w:rPr/>
      </w:pPr>
      <w:bookmarkStart w:id="10" w:name="X14ce8233b9237c78a99aafbccf4434469f7ca17"/>
      <w:r>
        <w:rPr>
          <w:sz w:val="28"/>
        </w:rPr>
        <w:t>Таким образом, коммерческая деятельность представляет собой системно организованный комплекс хозяйственных операций, обеспечивающих основной финансовый результат промышленного предприятия. Её эффективность во многом определяется качеством выбранной модели сбыта и степенью соответствия коммерческой политики выбранной бизнес-стратегии.</w:t>
      </w:r>
      <w:bookmarkEnd w:id="10"/>
    </w:p>
    <w:p>
      <w:pPr>
        <w:pStyle w:val="Heading3"/>
        <w:spacing w:lineRule="auto" w:line="360"/>
        <w:ind w:hanging="0"/>
        <w:jc w:val="center"/>
        <w:rPr/>
      </w:pPr>
      <w:bookmarkStart w:id="11" w:name="__RefHeading___Toc8721_1604219493"/>
      <w:bookmarkStart w:id="12" w:name="X04f3b3967f3147461701ea12d8783bbb10ddcb0"/>
      <w:bookmarkEnd w:id="11"/>
      <w:r>
        <w:rPr>
          <w:rFonts w:ascii="Times New Roman" w:hAnsi="Times New Roman"/>
          <w:b/>
          <w:color w:val="000000"/>
          <w:sz w:val="28"/>
        </w:rPr>
        <w:t>1.2 Понятие, виды и функции сети фирменных магазинов промышленного предприятия</w:t>
      </w:r>
    </w:p>
    <w:p>
      <w:pPr>
        <w:pStyle w:val="FirstParagraph"/>
        <w:spacing w:lineRule="auto" w:line="360"/>
        <w:ind w:firstLine="709"/>
        <w:jc w:val="both"/>
        <w:rPr/>
      </w:pPr>
      <w:r>
        <w:rPr>
          <w:sz w:val="28"/>
        </w:rPr>
        <w:t>Сеть фирменных магазинов представляет собой совокупность принадлежащих промышленному предприятию или функционирующих под его торговой маркой объектов розничной торговли, реализующих продукцию данного предприятия в условиях единого фирменного стиля, ценовой политики и стандартов обслуживания. По определению И. М. Синяевой, фирменный магазин — это «специализированный магазин розничной торговли, осуществляющий продажу товаров одного производителя или одной товарной группы, отличающийся единым корпоративным оформлением, ассортиментной концепцией и стандартами обслуживания». Близкое определение приводит В. В. Никишкин: фирменный магазин — это «розничная торговая точка производителя или его уполномоченного оператора, реализующая продукцию данного производителя по фирменной цене и с фирменным сервисом».</w:t>
      </w:r>
    </w:p>
    <w:p>
      <w:pPr>
        <w:pStyle w:val="BodyText"/>
        <w:spacing w:lineRule="auto" w:line="360"/>
        <w:ind w:firstLine="709"/>
        <w:jc w:val="both"/>
        <w:rPr/>
      </w:pPr>
      <w:r>
        <w:rPr>
          <w:sz w:val="28"/>
        </w:rPr>
        <w:t>Сеть фирменных магазинов является высшей формой развития прямого сбыта промышленного предприятия и обеспечивает: формирование устойчивого канала продаж, не зависящего от внешних посредников; контроль над уровнем розничных цен; формирование эмоциональной связи потребителя с торговой маркой; получение оперативной обратной связи о потребительских предпочтениях; стимулирование лояльности через программы повторных покупок; реализацию инновационных и пилотных продуктов с ограниченным сроком вывода на рынок.</w:t>
      </w:r>
    </w:p>
    <w:p>
      <w:pPr>
        <w:pStyle w:val="BodyText"/>
        <w:spacing w:lineRule="auto" w:line="360"/>
        <w:ind w:firstLine="709"/>
        <w:jc w:val="both"/>
        <w:rPr/>
      </w:pPr>
      <w:r>
        <w:rPr>
          <w:sz w:val="28"/>
        </w:rPr>
        <w:t>Классификация фирменных магазинов промышленного предприятия может быть проведена по нескольким признакам. Систематизация классификационных подходов представлена в таблице 1.</w:t>
      </w:r>
    </w:p>
    <w:p>
      <w:pPr>
        <w:pStyle w:val="BodyText"/>
        <w:spacing w:lineRule="auto" w:line="360"/>
        <w:ind w:firstLine="709"/>
        <w:jc w:val="both"/>
        <w:rPr/>
      </w:pPr>
      <w:r>
        <w:rPr>
          <w:sz w:val="28"/>
        </w:rPr>
        <w:t>Таблица 1 – Классификация фирменных магазинов промышленного предприятия</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Классификационный признак</w:t>
            </w:r>
          </w:p>
        </w:tc>
        <w:tc>
          <w:tcPr>
            <w:tcW w:w="395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Виды фирменных магазинов</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 форме собственности</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Магазины, принадлежащие промышленному предприятию; магазины, открытые на условиях коммерческой концессии (франшизы); магазины партнёров на условиях агентского договора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 размеру торговой площади</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Микроформат (до 50 кв. м); малый формат (от 50 до 150 кв. м); средний формат (от 150 до 400 кв. м); крупный формат (свыше 400 кв. м)</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 ассортиментной концепции</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Монобрендовый магазин одной товарной группы; монобрендовый магазин полного ассортимента производителя; концептуальный магазин с расширенным сопутствующим ассортиментом</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 месту расположения</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Магазины при производственной площадке; уличные магазины в торговых коридорах; магазины в составе торговых центров; магазины в составе транспортно-пересадочных узлов; магазины в составе бизнес-центров</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 степени интеграции с интернет-торговлей</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Автономные физические магазины; гибридные магазины с возможностью выдачи интернет-заказов; магазины-витрины с приёмом интернет-заказов на месте</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 уровню сервиса</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Магазины базового уровня; магазины премиального уровня с расширенным консультационным сервисом; концептуальные пространства с дополнительными услугами (дегустации, мастер-классы)</w:t>
            </w:r>
          </w:p>
        </w:tc>
      </w:tr>
    </w:tbl>
    <w:p>
      <w:pPr>
        <w:pStyle w:val="BodyText"/>
        <w:spacing w:lineRule="auto" w:line="360"/>
        <w:ind w:firstLine="709"/>
        <w:jc w:val="both"/>
        <w:rPr/>
      </w:pPr>
      <w:r>
        <w:rPr>
          <w:sz w:val="28"/>
        </w:rPr>
        <w:t>Источник: систематизация автора по работам [11, 14, 21].</w:t>
      </w:r>
    </w:p>
    <w:p>
      <w:pPr>
        <w:pStyle w:val="BodyText"/>
        <w:spacing w:lineRule="auto" w:line="360"/>
        <w:ind w:firstLine="709"/>
        <w:jc w:val="both"/>
        <w:rPr/>
      </w:pPr>
      <w:r>
        <w:rPr>
          <w:sz w:val="28"/>
        </w:rPr>
        <w:t>Применительно к разрабатываемой в настоящей работе модели рассматривается сеть фирменных магазинов малого формата с монобрендовой ассортиментной концепцией и гибридной интеграцией с интернет-торговлей. Подобная модель оптимальна для промышленных предприятий малого и среднего размера, делающих первые шаги в развитии собственной фирменной розницы и располагающих ограниченным инвестиционным бюджетом.</w:t>
      </w:r>
    </w:p>
    <w:p>
      <w:pPr>
        <w:pStyle w:val="BodyText"/>
        <w:spacing w:lineRule="auto" w:line="360"/>
        <w:ind w:firstLine="709"/>
        <w:jc w:val="both"/>
        <w:rPr/>
      </w:pPr>
      <w:r>
        <w:rPr>
          <w:sz w:val="28"/>
        </w:rPr>
        <w:t>Функции сети фирменных магазинов промышленного предприятия многообразны и не сводятся только к реализации продукции. Систематизация функций приведена в таблице 2.</w:t>
      </w:r>
    </w:p>
    <w:p>
      <w:pPr>
        <w:pStyle w:val="BodyText"/>
        <w:spacing w:lineRule="auto" w:line="360"/>
        <w:ind w:firstLine="709"/>
        <w:jc w:val="both"/>
        <w:rPr/>
      </w:pPr>
      <w:r>
        <w:rPr>
          <w:sz w:val="28"/>
        </w:rPr>
        <w:t>Таблица 2 – Основные функции сети фирменных магазинов промышленного предприятия</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Группа функций</w:t>
            </w:r>
          </w:p>
        </w:tc>
        <w:tc>
          <w:tcPr>
            <w:tcW w:w="395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Содержание</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Торговые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Реализация продукции конечному потребителю; формирование розничного ассортимента; ценообразование на уровне фирменной цены производителя</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Маркетинговые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Поддержание узнаваемости торговой марки; продвижение новых артикулов; получение обратной связи; проведение акций и дегустаций</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Информационные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Информирование покупателя о свойствах продукции; консультирование по выбору; сбор данных о потребительских предпочтениях</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Логистические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Хранение оперативного запаса; выдача товара по интернет-заказам; приём возвратов</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Имиджевые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Формирование положительного восприятия торговой марки; поддержание единого фирменного стиля; демонстрация качества продукции</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Социальные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Создание рабочих мест в регионах присутствия; реализация социальных программ; взаимодействие с местным сообществом</w:t>
            </w:r>
          </w:p>
        </w:tc>
      </w:tr>
    </w:tbl>
    <w:p>
      <w:pPr>
        <w:pStyle w:val="BodyText"/>
        <w:spacing w:lineRule="auto" w:line="360"/>
        <w:ind w:firstLine="709"/>
        <w:jc w:val="both"/>
        <w:rPr/>
      </w:pPr>
      <w:r>
        <w:rPr>
          <w:sz w:val="28"/>
        </w:rPr>
        <w:t>Источник: систематизация автора.</w:t>
      </w:r>
    </w:p>
    <w:p>
      <w:pPr>
        <w:pStyle w:val="BodyText"/>
        <w:spacing w:lineRule="auto" w:line="360"/>
        <w:ind w:firstLine="709"/>
        <w:jc w:val="both"/>
        <w:rPr/>
      </w:pPr>
      <w:r>
        <w:rPr>
          <w:sz w:val="28"/>
        </w:rPr>
        <w:t>С точки зрения управления особое значение имеет принцип единства стандартов сети фирменных магазинов, включающий единые требования к фирменному стилю, ассортиментному наполнению, ценовой и сервисной политике, кадрам и системе обучения персонала. Соблюдение этого принципа обеспечивает узнаваемость сети, формирует устойчивые ожидания у покупателей и поддерживает целостность бренда.</w:t>
      </w:r>
    </w:p>
    <w:p>
      <w:pPr>
        <w:pStyle w:val="BodyText"/>
        <w:spacing w:lineRule="auto" w:line="360"/>
        <w:ind w:firstLine="709"/>
        <w:jc w:val="both"/>
        <w:rPr/>
      </w:pPr>
      <w:r>
        <w:rPr>
          <w:sz w:val="28"/>
        </w:rPr>
        <w:t>В практике организации сетей фирменных магазинов промышленных предприятий сформировались несколько типовых форматов. Сравнительный обзор форматов представлен в таблице 3.</w:t>
      </w:r>
    </w:p>
    <w:p>
      <w:pPr>
        <w:pStyle w:val="BodyText"/>
        <w:spacing w:lineRule="auto" w:line="360"/>
        <w:ind w:firstLine="709"/>
        <w:jc w:val="both"/>
        <w:rPr/>
      </w:pPr>
      <w:r>
        <w:rPr>
          <w:sz w:val="28"/>
        </w:rPr>
        <w:t>Таблица 3 – Сравнительная характеристика форматов фирменных магазинов</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Параметр</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Магазин при производстве</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Уличный магазин в торговом коридоре</w:t>
            </w:r>
          </w:p>
        </w:tc>
        <w:tc>
          <w:tcPr>
            <w:tcW w:w="197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Магазин в составе торгового центра</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 торговая площадь, кв. м</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80–200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60–150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80–250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Уровень арендной ставки, руб/кв. м в месяц</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0–500 (собственное помещение)</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2 500–6 000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4 000–10 000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Среднесуточный пешеходный поток, человек</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50–200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1 000–4 000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3 000–12 000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Доля заказов на месте от интернет-канала,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5–10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15–25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20–35</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Средний размер инвестиций в открытие, тыс.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1 200–2 500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2 800–5 500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4 500–8 500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Срок окупаемости, лет</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2,5–4,0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1,8–3,2</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1,5–2,8</w:t>
            </w:r>
          </w:p>
        </w:tc>
      </w:tr>
    </w:tbl>
    <w:p>
      <w:pPr>
        <w:pStyle w:val="BodyText"/>
        <w:spacing w:lineRule="auto" w:line="360"/>
        <w:ind w:firstLine="709"/>
        <w:jc w:val="both"/>
        <w:rPr/>
      </w:pPr>
      <w:r>
        <w:rPr>
          <w:sz w:val="28"/>
        </w:rPr>
        <w:t>Источник: систематизация автора на основании отраслевых обзоров розничной торговли.</w:t>
      </w:r>
    </w:p>
    <w:p>
      <w:pPr>
        <w:pStyle w:val="BodyText"/>
        <w:spacing w:lineRule="auto" w:line="360"/>
        <w:ind w:firstLine="709"/>
        <w:jc w:val="both"/>
        <w:rPr/>
      </w:pPr>
      <w:r>
        <w:rPr>
          <w:sz w:val="28"/>
        </w:rPr>
        <w:t>Выбор формата определяется характеристиками продукции, целевой аудиторией, доступностью помещений и инвестиционными возможностями промышленного предприятия. Для предприятий, обладающих собственным имущественным комплексом в коммерчески привлекательных локациях, наиболее экономически целесообразной является комбинация магазинов при производстве и магазинов в торговых коридорах прилегающих жилых массивов.</w:t>
      </w:r>
    </w:p>
    <w:p>
      <w:pPr>
        <w:pStyle w:val="BodyText"/>
        <w:spacing w:lineRule="auto" w:line="360"/>
        <w:ind w:firstLine="709"/>
        <w:jc w:val="both"/>
        <w:rPr/>
      </w:pPr>
      <w:bookmarkStart w:id="13" w:name="X04f3b3967f3147461701ea12d8783bbb10ddcb0"/>
      <w:r>
        <w:rPr>
          <w:sz w:val="28"/>
        </w:rPr>
        <w:t>Таким образом, сеть фирменных магазинов промышленного предприятия выступает многофункциональным инструментом коммерческой и маркетинговой политики, обеспечивающим не только реализацию продукции, но и формирование устойчивых отношений с потребителем. Выбор формата и масштаба сети определяется стратегическими целями предприятия и состоянием его ресурсной базы.</w:t>
      </w:r>
      <w:bookmarkEnd w:id="13"/>
    </w:p>
    <w:p>
      <w:pPr>
        <w:pStyle w:val="Heading3"/>
        <w:spacing w:lineRule="auto" w:line="360"/>
        <w:ind w:hanging="0"/>
        <w:jc w:val="center"/>
        <w:rPr/>
      </w:pPr>
      <w:bookmarkStart w:id="14" w:name="__RefHeading___Toc8723_1604219493"/>
      <w:bookmarkStart w:id="15" w:name="X6915d82062e678f711a540fe90268b3f3e254a3"/>
      <w:bookmarkEnd w:id="14"/>
      <w:r>
        <w:rPr>
          <w:rFonts w:ascii="Times New Roman" w:hAnsi="Times New Roman"/>
          <w:b/>
          <w:color w:val="000000"/>
          <w:sz w:val="28"/>
        </w:rPr>
        <w:t>1.3 Методические подходы к организации коммерческой деятельности и оценке её эффективности</w:t>
      </w:r>
    </w:p>
    <w:p>
      <w:pPr>
        <w:pStyle w:val="FirstParagraph"/>
        <w:spacing w:lineRule="auto" w:line="360"/>
        <w:ind w:firstLine="709"/>
        <w:jc w:val="both"/>
        <w:rPr/>
      </w:pPr>
      <w:r>
        <w:rPr>
          <w:sz w:val="28"/>
        </w:rPr>
        <w:t>Методические подходы к организации коммерческой деятельности промышленного предприятия в условиях развития фирменной розничной сети охватывают пять основных направлений: ассортиментную политику, ценовую политику, политику товародвижения, кадровую политику и систему оценки эффективности.</w:t>
      </w:r>
    </w:p>
    <w:p>
      <w:pPr>
        <w:pStyle w:val="BodyText"/>
        <w:spacing w:lineRule="auto" w:line="360"/>
        <w:ind w:firstLine="709"/>
        <w:jc w:val="both"/>
        <w:rPr/>
      </w:pPr>
      <w:r>
        <w:rPr>
          <w:sz w:val="28"/>
        </w:rPr>
        <w:t>Ассортиментная политика фирменной сети формируется на основе принципов широты, глубины, сбалансированности и сопоставимости товарных позиций. Широта ассортимента определяется количеством товарных групп, глубина — количеством артикулов внутри товарной группы, сбалансированность — соответствием ассортимента целевым потребностям сегмента, сопоставимость — единообразием упаковки и подачи продукции. В фирменной рознице промышленного предприятия ассортимент формируется по принципу «ядро — расширение», где ядро составляют ключевые продукты собственного производства, а расширение — комплементарные товары, повышающие потребительскую ценность визита.</w:t>
      </w:r>
    </w:p>
    <w:p>
      <w:pPr>
        <w:pStyle w:val="BodyText"/>
        <w:spacing w:lineRule="auto" w:line="360"/>
        <w:ind w:firstLine="709"/>
        <w:jc w:val="both"/>
        <w:rPr/>
      </w:pPr>
      <w:r>
        <w:rPr>
          <w:sz w:val="28"/>
        </w:rPr>
        <w:t>Ценовая политика фирменной сети опирается на принцип установления единой фирменной розничной цены, обеспечивающей привлекательное соотношение «цена — качество» в сравнении с альтернативными каналами сбыта. На практике применяются три основные стратегии: стратегия лидерства по цене (цена ниже среднерыночной), стратегия конкурентного паритета (цена равна среднерыночной), стратегия премиальной надбавки (цена выше среднерыночной с обоснованием через дополнительную потребительскую ценность). Выбор стратегии зависит от позиционирования торговой марки, эластичности спроса и конкурентного окружения.</w:t>
      </w:r>
    </w:p>
    <w:p>
      <w:pPr>
        <w:pStyle w:val="BodyText"/>
        <w:spacing w:lineRule="auto" w:line="360"/>
        <w:ind w:firstLine="709"/>
        <w:jc w:val="both"/>
        <w:rPr/>
      </w:pPr>
      <w:r>
        <w:rPr>
          <w:sz w:val="28"/>
        </w:rPr>
        <w:t>Политика товародвижения регламентирует движение материальных потоков от производственной площадки до точек розничной реализации. Базовым элементом политики является расчёт нормативного товарного запаса. Нормативный товарный запас в точке розничной реализации может быть определён по формуле (1):</w:t>
      </w:r>
    </w:p>
    <w:p>
      <w:pPr>
        <w:pStyle w:val="BodyText"/>
        <w:spacing w:lineRule="auto" w:line="360"/>
        <w:ind w:firstLine="709"/>
        <w:jc w:val="both"/>
        <w:rPr/>
      </w:pPr>
      <w:r>
        <w:rPr>
          <w:sz w:val="28"/>
        </w:rPr>
        <w:t>З_н = Q_д × Т_п + З_с, (1)</w:t>
      </w:r>
    </w:p>
    <w:p>
      <w:pPr>
        <w:pStyle w:val="BodyText"/>
        <w:spacing w:lineRule="auto" w:line="360"/>
        <w:ind w:firstLine="709"/>
        <w:jc w:val="both"/>
        <w:rPr/>
      </w:pPr>
      <w:r>
        <w:rPr>
          <w:sz w:val="28"/>
        </w:rPr>
        <w:t>где: З_н — нормативный товарный запас, единиц продукции; Q_д — среднесуточная реализация, единиц продукции; Т_п — период пополнения запаса, дней; З_с — страховой запас, единиц продукции.</w:t>
      </w:r>
    </w:p>
    <w:p>
      <w:pPr>
        <w:pStyle w:val="BodyText"/>
        <w:spacing w:lineRule="auto" w:line="360"/>
        <w:ind w:firstLine="709"/>
        <w:jc w:val="both"/>
        <w:rPr/>
      </w:pPr>
      <w:r>
        <w:rPr>
          <w:sz w:val="28"/>
        </w:rPr>
        <w:t>Страховой запас формируется как произведение среднеквадратического отклонения спроса на период пополнения и заданного уровня надёжности обеспечения спроса (доверительной вероятности).</w:t>
      </w:r>
    </w:p>
    <w:p>
      <w:pPr>
        <w:pStyle w:val="BodyText"/>
        <w:spacing w:lineRule="auto" w:line="360"/>
        <w:ind w:firstLine="709"/>
        <w:jc w:val="both"/>
        <w:rPr/>
      </w:pPr>
      <w:r>
        <w:rPr>
          <w:sz w:val="28"/>
        </w:rPr>
        <w:t>Эффективность управления товарным запасом оценивается коэффициентом оборачиваемости запаса по формуле (2):</w:t>
      </w:r>
    </w:p>
    <w:p>
      <w:pPr>
        <w:pStyle w:val="BodyText"/>
        <w:spacing w:lineRule="auto" w:line="360"/>
        <w:ind w:firstLine="709"/>
        <w:jc w:val="both"/>
        <w:rPr/>
      </w:pPr>
      <w:r>
        <w:rPr>
          <w:sz w:val="28"/>
        </w:rPr>
        <w:t>К_об = В_ср / З_ср, (2)</w:t>
      </w:r>
    </w:p>
    <w:p>
      <w:pPr>
        <w:pStyle w:val="BodyText"/>
        <w:spacing w:lineRule="auto" w:line="360"/>
        <w:ind w:firstLine="709"/>
        <w:jc w:val="both"/>
        <w:rPr/>
      </w:pPr>
      <w:r>
        <w:rPr>
          <w:sz w:val="28"/>
        </w:rPr>
        <w:t>где: К_об — коэффициент оборачиваемости запаса, оборотов в период; В_ср — средняя выручка за период, руб; З_ср — средний остаток товарного запаса за период, руб.</w:t>
      </w:r>
    </w:p>
    <w:p>
      <w:pPr>
        <w:pStyle w:val="BodyText"/>
        <w:spacing w:lineRule="auto" w:line="360"/>
        <w:ind w:firstLine="709"/>
        <w:jc w:val="both"/>
        <w:rPr/>
      </w:pPr>
      <w:r>
        <w:rPr>
          <w:sz w:val="28"/>
        </w:rPr>
        <w:t>Кадровая политика фирменной розничной сети регламентирует требования к персоналу торговых точек, системе их подбора, обучения и мотивации. Базовая структура штатного расписания одной торговой точки малого формата включает заведующего магазином, двух старших продавцов-консультантов, двух продавцов-консультантов и одного работника склада, при необходимости — сменного товароведа и кассира. Среднемесячный фонд оплаты труда одной торговой точки малого формата составляет 410–680 тыс. руб в зависимости от региона размещения и применяемой системы стимулирования.</w:t>
      </w:r>
    </w:p>
    <w:p>
      <w:pPr>
        <w:pStyle w:val="BodyText"/>
        <w:spacing w:lineRule="auto" w:line="360"/>
        <w:ind w:firstLine="709"/>
        <w:jc w:val="both"/>
        <w:rPr/>
      </w:pPr>
      <w:r>
        <w:rPr>
          <w:sz w:val="28"/>
        </w:rPr>
        <w:t>Система оценки коммерческой эффективности фирменной розничной сети опирается на совокупность показателей, которые могут быть сгруппированы в пять блоков: торговые, финансовые, маркетинговые, операционные и инвестиционные. Основные показатели каждого блока представлены в таблице 4.</w:t>
      </w:r>
    </w:p>
    <w:p>
      <w:pPr>
        <w:pStyle w:val="BodyText"/>
        <w:spacing w:lineRule="auto" w:line="360"/>
        <w:ind w:firstLine="709"/>
        <w:jc w:val="both"/>
        <w:rPr/>
      </w:pPr>
      <w:r>
        <w:rPr>
          <w:sz w:val="28"/>
        </w:rPr>
        <w:t>Таблица 4 – Система показателей оценки коммерческой эффективности фирменной сети</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Группа показателей</w:t>
            </w:r>
          </w:p>
        </w:tc>
        <w:tc>
          <w:tcPr>
            <w:tcW w:w="395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Показатели</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Торговые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Среднесуточная выручка торговой точки; среднее количество чеков; средний чек; конверсия посетителя в покупателя; глубина чека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Финансовые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Валовая маржа; рентабельность продаж; рентабельность торговой площади; коэффициент покрытия постоянных расходов</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Маркетинговые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Доля постоянных покупателей; индекс лояльности; узнаваемость торговой марки; стоимость привлечения нового покупателя</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Операционные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Оборачиваемость товарного запаса; коэффициент исполнения заказов в срок; уровень технологических потерь; производительность труда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Инвестиционные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Срок окупаемости открытия торговой точки; чистый дисконтированный доход проекта; внутренняя норма доходности; индекс рентабельности инвестиций</w:t>
            </w:r>
          </w:p>
        </w:tc>
      </w:tr>
    </w:tbl>
    <w:p>
      <w:pPr>
        <w:pStyle w:val="BodyText"/>
        <w:spacing w:lineRule="auto" w:line="360"/>
        <w:ind w:firstLine="709"/>
        <w:jc w:val="both"/>
        <w:rPr/>
      </w:pPr>
      <w:r>
        <w:rPr>
          <w:sz w:val="28"/>
        </w:rPr>
        <w:t>Источник: систематизация автора.</w:t>
      </w:r>
    </w:p>
    <w:p>
      <w:pPr>
        <w:pStyle w:val="BodyText"/>
        <w:spacing w:lineRule="auto" w:line="360"/>
        <w:ind w:firstLine="709"/>
        <w:jc w:val="both"/>
        <w:rPr/>
      </w:pPr>
      <w:r>
        <w:rPr>
          <w:sz w:val="28"/>
        </w:rPr>
        <w:t>Финансовый блок оценки опирается на классические показатели инвестиционного анализа. Расчёт чистого дисконтированного дохода (NPV) производится по формуле (3):</w:t>
      </w:r>
    </w:p>
    <w:p>
      <w:pPr>
        <w:pStyle w:val="BodyText"/>
        <w:spacing w:lineRule="auto" w:line="360"/>
        <w:ind w:firstLine="709"/>
        <w:jc w:val="both"/>
        <w:rPr/>
      </w:pPr>
      <w:r>
        <w:rPr>
          <w:sz w:val="28"/>
        </w:rPr>
        <w:t>NPV = Σ CFₜ / (1 + r)ᵗ − I₀, (3)</w:t>
      </w:r>
    </w:p>
    <w:p>
      <w:pPr>
        <w:pStyle w:val="BodyText"/>
        <w:spacing w:lineRule="auto" w:line="360"/>
        <w:ind w:firstLine="709"/>
        <w:jc w:val="both"/>
        <w:rPr/>
      </w:pPr>
      <w:r>
        <w:rPr>
          <w:sz w:val="28"/>
        </w:rPr>
        <w:t>где: NPV — чистый дисконтированный доход, руб; CFₜ — чистый денежный поток в период t, руб; r — ставка дисконтирования, доли единицы; t — номер периода, лет; I₀ — первоначальные инвестиции, руб.</w:t>
      </w:r>
    </w:p>
    <w:p>
      <w:pPr>
        <w:pStyle w:val="BodyText"/>
        <w:spacing w:lineRule="auto" w:line="360"/>
        <w:ind w:firstLine="709"/>
        <w:jc w:val="both"/>
        <w:rPr/>
      </w:pPr>
      <w:r>
        <w:rPr>
          <w:sz w:val="28"/>
        </w:rPr>
        <w:t>Внутренняя норма доходности (IRR) определяется как ставка дисконтирования, при которой чистый дисконтированный доход равен нулю, согласно формуле (4):</w:t>
      </w:r>
    </w:p>
    <w:p>
      <w:pPr>
        <w:pStyle w:val="BodyText"/>
        <w:spacing w:lineRule="auto" w:line="360"/>
        <w:ind w:firstLine="709"/>
        <w:jc w:val="both"/>
        <w:rPr/>
      </w:pPr>
      <w:r>
        <w:rPr>
          <w:sz w:val="28"/>
        </w:rPr>
        <w:t>Σ CFₜ / (1 + IRR)ᵗ − I₀ = 0, (4)</w:t>
      </w:r>
    </w:p>
    <w:p>
      <w:pPr>
        <w:pStyle w:val="BodyText"/>
        <w:spacing w:lineRule="auto" w:line="360"/>
        <w:ind w:firstLine="709"/>
        <w:jc w:val="both"/>
        <w:rPr/>
      </w:pPr>
      <w:r>
        <w:rPr>
          <w:sz w:val="28"/>
        </w:rPr>
        <w:t>где: IRR — внутренняя норма доходности, доли единицы; остальные обозначения соответствуют формуле (3).</w:t>
      </w:r>
    </w:p>
    <w:p>
      <w:pPr>
        <w:pStyle w:val="BodyText"/>
        <w:spacing w:lineRule="auto" w:line="360"/>
        <w:ind w:firstLine="709"/>
        <w:jc w:val="both"/>
        <w:rPr/>
      </w:pPr>
      <w:r>
        <w:rPr>
          <w:sz w:val="28"/>
        </w:rPr>
        <w:t>Индекс рентабельности инвестиций рассчитывается по формуле (5):</w:t>
      </w:r>
    </w:p>
    <w:p>
      <w:pPr>
        <w:pStyle w:val="BodyText"/>
        <w:spacing w:lineRule="auto" w:line="360"/>
        <w:ind w:firstLine="709"/>
        <w:jc w:val="both"/>
        <w:rPr/>
      </w:pPr>
      <w:r>
        <w:rPr>
          <w:sz w:val="28"/>
        </w:rPr>
        <w:t>PI = Σ CFₜ / (1 + r)ᵗ / I₀, (5)</w:t>
      </w:r>
    </w:p>
    <w:p>
      <w:pPr>
        <w:pStyle w:val="BodyText"/>
        <w:spacing w:lineRule="auto" w:line="360"/>
        <w:ind w:firstLine="709"/>
        <w:jc w:val="both"/>
        <w:rPr/>
      </w:pPr>
      <w:r>
        <w:rPr>
          <w:sz w:val="28"/>
        </w:rPr>
        <w:t>где: PI — индекс рентабельности инвестиций, доли единицы; остальные обозначения соответствуют формуле (3).</w:t>
      </w:r>
    </w:p>
    <w:p>
      <w:pPr>
        <w:pStyle w:val="BodyText"/>
        <w:spacing w:lineRule="auto" w:line="360"/>
        <w:ind w:firstLine="709"/>
        <w:jc w:val="both"/>
        <w:rPr/>
      </w:pPr>
      <w:r>
        <w:rPr>
          <w:sz w:val="28"/>
        </w:rPr>
        <w:t>Дисконтированный срок окупаемости определяется как минимальный период, по истечении которого накопленный дисконтированный денежный поток становится положительным:</w:t>
      </w:r>
    </w:p>
    <w:p>
      <w:pPr>
        <w:pStyle w:val="BodyText"/>
        <w:spacing w:lineRule="auto" w:line="360"/>
        <w:ind w:firstLine="709"/>
        <w:jc w:val="both"/>
        <w:rPr/>
      </w:pPr>
      <w:r>
        <w:rPr>
          <w:sz w:val="28"/>
        </w:rPr>
        <w:t>DPP = min{T : Σ CFₜ / (1 + r)ᵗ ≥ I₀}, (6)</w:t>
      </w:r>
    </w:p>
    <w:p>
      <w:pPr>
        <w:pStyle w:val="BodyText"/>
        <w:spacing w:lineRule="auto" w:line="360"/>
        <w:ind w:firstLine="709"/>
        <w:jc w:val="both"/>
        <w:rPr/>
      </w:pPr>
      <w:r>
        <w:rPr>
          <w:sz w:val="28"/>
        </w:rPr>
        <w:t>где: DPP — дисконтированный срок окупаемости, лет; T — горизонт суммирования; остальные обозначения соответствуют формуле (3).</w:t>
      </w:r>
    </w:p>
    <w:p>
      <w:pPr>
        <w:pStyle w:val="BodyText"/>
        <w:spacing w:lineRule="auto" w:line="360"/>
        <w:ind w:firstLine="709"/>
        <w:jc w:val="both"/>
        <w:rPr/>
      </w:pPr>
      <w:r>
        <w:rPr>
          <w:sz w:val="28"/>
        </w:rPr>
        <w:t>Ставка дисконтирования определяется на основе средневзвешенной стоимости капитала (WACC) по формуле (7):</w:t>
      </w:r>
    </w:p>
    <w:p>
      <w:pPr>
        <w:pStyle w:val="BodyText"/>
        <w:spacing w:lineRule="auto" w:line="360"/>
        <w:ind w:firstLine="709"/>
        <w:jc w:val="both"/>
        <w:rPr/>
      </w:pPr>
      <w:r>
        <w:rPr>
          <w:sz w:val="28"/>
        </w:rPr>
        <w:t>WACC = w_e · k_e + w_d · k_d · (1 − T), (7)</w:t>
      </w:r>
    </w:p>
    <w:p>
      <w:pPr>
        <w:pStyle w:val="BodyText"/>
        <w:spacing w:lineRule="auto" w:line="360"/>
        <w:ind w:firstLine="709"/>
        <w:jc w:val="both"/>
        <w:rPr/>
      </w:pPr>
      <w:r>
        <w:rPr>
          <w:sz w:val="28"/>
        </w:rPr>
        <w:t>где: WACC — средневзвешенная стоимость капитала, доли единицы; w_e, w_d — удельные веса собственного и заёмного капитала в структуре финансирования; k_e, k_d — стоимости собственного и заёмного капитала; T — ставка налога на прибыль организаций, доли единицы.</w:t>
      </w:r>
    </w:p>
    <w:p>
      <w:pPr>
        <w:pStyle w:val="BodyText"/>
        <w:spacing w:lineRule="auto" w:line="360"/>
        <w:ind w:firstLine="709"/>
        <w:jc w:val="both"/>
        <w:rPr/>
      </w:pPr>
      <w:r>
        <w:rPr>
          <w:sz w:val="28"/>
        </w:rPr>
        <w:t>Критерии принятия инвестиционного решения формулируются следующим образом: проект признаётся коммерчески эффективным, если одновременно выполняются условия NPV &gt; 0, IRR &gt; r, PI &gt; 1, DPP &lt; T_max, где T_max — максимально допустимый срок окупаемости, установленный предприятием в его инвестиционной политике.</w:t>
      </w:r>
    </w:p>
    <w:p>
      <w:pPr>
        <w:pStyle w:val="BodyText"/>
        <w:spacing w:lineRule="auto" w:line="360"/>
        <w:ind w:firstLine="709"/>
        <w:jc w:val="both"/>
        <w:rPr/>
      </w:pPr>
      <w:r>
        <w:rPr>
          <w:sz w:val="28"/>
        </w:rPr>
        <w:t>Помимо инвестиционных показателей, для оперативной оценки коммерческой деятельности фирменной розничной сети целесообразно применять показатель рентабельности торговой площади (PSM — выручка с квадратного метра в месяц), рассчитываемый по формуле (8):</w:t>
      </w:r>
    </w:p>
    <w:p>
      <w:pPr>
        <w:pStyle w:val="BodyText"/>
        <w:spacing w:lineRule="auto" w:line="360"/>
        <w:ind w:firstLine="709"/>
        <w:jc w:val="both"/>
        <w:rPr/>
      </w:pPr>
      <w:r>
        <w:rPr>
          <w:sz w:val="28"/>
        </w:rPr>
        <w:t>PSM = В_м / S_тз, (8)</w:t>
      </w:r>
    </w:p>
    <w:p>
      <w:pPr>
        <w:pStyle w:val="BodyText"/>
        <w:spacing w:lineRule="auto" w:line="360"/>
        <w:ind w:firstLine="709"/>
        <w:jc w:val="both"/>
        <w:rPr/>
      </w:pPr>
      <w:r>
        <w:rPr>
          <w:sz w:val="28"/>
        </w:rPr>
        <w:t>где: PSM — выручка с квадратного метра торговой площади в месяц, руб/кв. м; В_м — среднемесячная выручка торговой точки, руб; S_тз — торговая площадь точки, кв. м.</w:t>
      </w:r>
    </w:p>
    <w:p>
      <w:pPr>
        <w:pStyle w:val="BodyText"/>
        <w:spacing w:lineRule="auto" w:line="360"/>
        <w:ind w:firstLine="709"/>
        <w:jc w:val="both"/>
        <w:rPr/>
      </w:pPr>
      <w:r>
        <w:rPr>
          <w:sz w:val="28"/>
        </w:rPr>
        <w:t>В практике российской фирменной розницы продовольственного сегмента целевое значение указанного показателя составляет 25 000–45 000 руб/кв. м в месяц для магазинов малого формата и 40 000–70 000 руб/кв. м для магазинов в торговых центрах.</w:t>
      </w:r>
    </w:p>
    <w:p>
      <w:pPr>
        <w:pStyle w:val="BodyText"/>
        <w:spacing w:lineRule="auto" w:line="360"/>
        <w:ind w:firstLine="709"/>
        <w:jc w:val="both"/>
        <w:rPr/>
      </w:pPr>
      <w:r>
        <w:rPr>
          <w:sz w:val="28"/>
        </w:rPr>
        <w:t>Сравнительный анализ методических подходов к оценке коммерческой деятельности позволяет сформулировать рабочую методику исследования: на этапе анализа действующей деятельности предприятия применяются финансовый анализ и SWOT-анализ; на этапе обоснования проекта — расчёт нормативных показателей коммерческой деятельности и инвестиционных показателей эффективности; на этапе оценки рисков — анализ чувствительности и сценарное моделирование.</w:t>
      </w:r>
    </w:p>
    <w:p>
      <w:pPr>
        <w:pStyle w:val="BodyText"/>
        <w:spacing w:lineRule="auto" w:line="360"/>
        <w:ind w:firstLine="709"/>
        <w:jc w:val="both"/>
        <w:rPr/>
      </w:pPr>
      <w:bookmarkStart w:id="16" w:name="X1e8b198cb40eccb57ffbe427e9d23321e5dc623"/>
      <w:bookmarkStart w:id="17" w:name="X6915d82062e678f711a540fe90268b3f3e254a3"/>
      <w:r>
        <w:rPr>
          <w:sz w:val="28"/>
        </w:rPr>
        <w:t>Таким образом, методические подходы к организации и оценке коммерческой деятельности промышленного предприятия в части его фирменной розничной сети образуют интегрированную систему, включающую как инструменты оперативного управления, так и инструменты стратегического и инвестиционного анализа. Применение комплексного методического подхода обеспечивает методическую корректность дальнейших расчётов и формирует основу для обоснованного управленческого решения.</w:t>
      </w:r>
      <w:bookmarkEnd w:id="16"/>
      <w:bookmarkEnd w:id="17"/>
    </w:p>
    <w:p>
      <w:pPr>
        <w:pStyle w:val="Heading2"/>
        <w:spacing w:lineRule="auto" w:line="360"/>
        <w:ind w:hanging="0"/>
        <w:jc w:val="center"/>
        <w:rPr/>
      </w:pPr>
      <w:bookmarkStart w:id="18" w:name="__RefHeading___Toc8725_1604219493"/>
      <w:bookmarkStart w:id="19" w:name="Xb969b67078c7e713948dafb717189e151cba9a0"/>
      <w:bookmarkEnd w:id="18"/>
      <w:r>
        <w:rPr>
          <w:rFonts w:ascii="Times New Roman" w:hAnsi="Times New Roman"/>
          <w:b/>
          <w:color w:val="000000"/>
          <w:sz w:val="28"/>
        </w:rPr>
        <w:t>ГЛАВА 2. АНАЛИЗ ХОЗЯЙСТВЕННОЙ ДЕЯТЕЛЬНОСТИ АО «ВИТА ЛАЙФ» КАК БАЗЫ ДЛЯ РАЗВИТИЯ ФИРМЕННОЙ РОЗНИЧНОЙ СЕТИ</w:t>
      </w:r>
    </w:p>
    <w:p>
      <w:pPr>
        <w:pStyle w:val="Heading3"/>
        <w:spacing w:lineRule="auto" w:line="360"/>
        <w:ind w:hanging="0"/>
        <w:jc w:val="center"/>
        <w:rPr/>
      </w:pPr>
      <w:bookmarkStart w:id="20" w:name="__RefHeading___Toc8727_1604219493"/>
      <w:bookmarkStart w:id="21" w:name="Xa8bd214eb3e63c613f663c94403a15f349a8b8a"/>
      <w:bookmarkEnd w:id="20"/>
      <w:r>
        <w:rPr>
          <w:rFonts w:ascii="Times New Roman" w:hAnsi="Times New Roman"/>
          <w:b/>
          <w:color w:val="000000"/>
          <w:sz w:val="28"/>
        </w:rPr>
        <w:t>2.1 Организационно-экономическая характеристика АО «ВИТА ЛАЙФ»</w:t>
      </w:r>
    </w:p>
    <w:p>
      <w:pPr>
        <w:pStyle w:val="FirstParagraph"/>
        <w:spacing w:lineRule="auto" w:line="360"/>
        <w:ind w:firstLine="709"/>
        <w:jc w:val="both"/>
        <w:rPr/>
      </w:pPr>
      <w:r>
        <w:rPr>
          <w:sz w:val="28"/>
        </w:rPr>
        <w:t>Акционерное общество «ВИТА ЛАЙФ» зарегистрировано Межрайонной инспекцией Федеральной налоговой службы № 19 по г. Москве 29 октября 2003 года за основным государственным регистрационным номером 1037719056760. Организации присвоен идентификационный номер налогоплательщика 7719285076, код причины постановки на учёт по месту нахождения 500301001, код Общероссийского классификатора предприятий и организаций 71302791. Юридический адрес общества: 142700, Московская область, г. Видное, промзона Северная Промзона, проезд Проектируемый 5208, владение 6А. Организационно-правовая форма — акционерное общество (непубличное). Размер уставного капитала составляет 10 000 руб. Учредителями выступают два физических лица. Единоличным исполнительным органом является генеральный директор Саркисян Гаяне Арутюновна, осуществляющая полномочия с 28 декабря 2023 г. По состоянию на дату исследования организация отнесена к категории микропредприятий (включена в Единый реестр субъектов малого и среднего предпринимательства 10 июля 2025 г). Сводные регистрационные сведения о предприятии представлены в таблице 5.</w:t>
      </w:r>
    </w:p>
    <w:p>
      <w:pPr>
        <w:pStyle w:val="BodyText"/>
        <w:spacing w:lineRule="auto" w:line="360"/>
        <w:ind w:firstLine="709"/>
        <w:jc w:val="both"/>
        <w:rPr/>
      </w:pPr>
      <w:r>
        <w:rPr>
          <w:sz w:val="28"/>
        </w:rPr>
        <w:t>Таблица 5 – Регистрационные сведения о предприятии</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Показатель</w:t>
            </w:r>
          </w:p>
        </w:tc>
        <w:tc>
          <w:tcPr>
            <w:tcW w:w="395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Значение</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Полное наименование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Акционерное общество «ВИТА ЛАЙФ»</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Сокращённое наименование</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АО «ВИТА ЛАЙФ»</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ИНН / КПП</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7719285076 / 500301001</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ОГРН</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1037719056760</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ОКПО</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71302791</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Дата государственной регистрации</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29.10.2003</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Юридический адрес</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142700, Московская область, г. Видное, промзона Северная Промзона, проезд Проектируемый 5208, влд. 6А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Организационно-правовая форма</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Акционерное общество (непубличное)</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Уставный капитал</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10 000 руб</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Учредители</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Два физических лица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Единоличный исполнительный орган</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Генеральный директор Саркисян Г. 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Основной ОКВЭД</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68.10 — Покупка и продажа собственного недвижимого имущества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Количество дополнительных ОКВЭД</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Категория</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Микропредприятие</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Статус</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Действующая организация</w:t>
            </w:r>
          </w:p>
        </w:tc>
      </w:tr>
    </w:tbl>
    <w:p>
      <w:pPr>
        <w:pStyle w:val="BodyText"/>
        <w:spacing w:lineRule="auto" w:line="360"/>
        <w:ind w:firstLine="709"/>
        <w:jc w:val="both"/>
        <w:rPr/>
      </w:pPr>
      <w:r>
        <w:rPr>
          <w:sz w:val="28"/>
        </w:rPr>
        <w:t>Источник: данные ЕГРЮЛ и Единого реестра субъектов малого и среднего предпринимательства по состоянию на дату исследования.</w:t>
      </w:r>
    </w:p>
    <w:p>
      <w:pPr>
        <w:pStyle w:val="BodyText"/>
        <w:spacing w:lineRule="auto" w:line="360"/>
        <w:ind w:firstLine="709"/>
        <w:jc w:val="both"/>
        <w:rPr/>
      </w:pPr>
      <w:r>
        <w:rPr>
          <w:sz w:val="28"/>
        </w:rPr>
        <w:t>Основной вид деятельности по Общероссийскому классификатору видов экономической деятельности — код 68.10 «Покупка и продажа собственного недвижимого имущества». В качестве дополнительных видов деятельности зарегистрированы коды 68.20 «Аренда и управление собственным или арендованным недвижимым имуществом», 70.22 «Консультирование по вопросам коммерческой деятельности и управления», 47.99 «Торговля розничная прочая вне магазинов, палаток, рынков», 46.49 «Торговля оптовая прочими бытовыми товарами», 82.99 «Деятельность по предоставлению прочих вспомогательных услуг для бизнеса». Перечень дополнительных ОКВЭД формирует основу для развития предприятия в направлении торговой деятельности и оказания вспомогательных коммерческих услуг.</w:t>
      </w:r>
    </w:p>
    <w:p>
      <w:pPr>
        <w:pStyle w:val="BodyText"/>
        <w:spacing w:lineRule="auto" w:line="360"/>
        <w:ind w:firstLine="709"/>
        <w:jc w:val="both"/>
        <w:rPr/>
      </w:pPr>
      <w:r>
        <w:rPr>
          <w:sz w:val="28"/>
        </w:rPr>
        <w:t>Структурно-функциональная модель деятельности предприятия в текущей конфигурации представляет собой компактную организацию, специализирующуюся на операциях с собственным недвижимым имуществом и связанных с этим коммерческих услугах. Основные функции сосредоточены в трёх блоках: имущественный блок (управление портфелем объектов недвижимости, поддержание объектов в эксплуатационном состоянии, оформление сделок купли-продажи), коммерческий блок (поиск контрагентов, подготовка и сопровождение договоров), административно-финансовый блок (бухгалтерия, юридическая поддержка, расчётно-кассовое обслуживание).</w:t>
      </w:r>
    </w:p>
    <w:p>
      <w:pPr>
        <w:pStyle w:val="BodyText"/>
        <w:spacing w:lineRule="auto" w:line="360"/>
        <w:ind w:firstLine="709"/>
        <w:jc w:val="both"/>
        <w:rPr/>
      </w:pPr>
      <w:r>
        <w:rPr>
          <w:sz w:val="28"/>
        </w:rPr>
        <w:t>Имущественный комплекс предприятия расположен в северной промышленной зоне г. Видное, в непосредственной близости от Каширского шоссе и города Видное Ленинского городского округа Московской области. Локация характеризуется высокой транспортной доступностью, наличием подъездных путей, развитой инженерной инфраструктурой. Земельный участок и расположенные на нём объекты недвижимости находятся в собственности общества и формируют материальную основу для возможного развития новых направлений деятельности.</w:t>
      </w:r>
    </w:p>
    <w:p>
      <w:pPr>
        <w:pStyle w:val="BodyText"/>
        <w:spacing w:lineRule="auto" w:line="360"/>
        <w:ind w:firstLine="709"/>
        <w:jc w:val="both"/>
        <w:rPr/>
      </w:pPr>
      <w:r>
        <w:rPr>
          <w:sz w:val="28"/>
        </w:rPr>
        <w:t>Среднесписочная численность работников предприятия по состоянию на конец 2025 г, в соответствии с категорией микропредприятия, составляет не более 15 человек. Организационная структура предприятия носит линейный характер с минимальным числом уровней управления, что характерно для предприятий микробизнеса. Все вспомогательные функции (бухгалтерский учёт, юридическое сопровождение, ИТ-обеспечение) преимущественно реализуются собственными силами с привлечением внешних консультантов на отдельных проектах.</w:t>
      </w:r>
    </w:p>
    <w:p>
      <w:pPr>
        <w:pStyle w:val="BodyText"/>
        <w:spacing w:lineRule="auto" w:line="360"/>
        <w:ind w:firstLine="709"/>
        <w:jc w:val="both"/>
        <w:rPr/>
      </w:pPr>
      <w:r>
        <w:rPr>
          <w:sz w:val="28"/>
        </w:rPr>
        <w:t>С точки зрения отраслевого позиционирования предприятие занимает нишу узкоспециализированного оператора рынка коммерческой недвижимости в южном секторе Московской агломерации. Конкурентное окружение представлено крупными девелоперами Видного и Ленинского городского округа, а также аналогичными по масштабам микропредприятиями, владеющими отдельными объектами коммерческой недвижимости в той же локации.</w:t>
      </w:r>
    </w:p>
    <w:p>
      <w:pPr>
        <w:pStyle w:val="BodyText"/>
        <w:spacing w:lineRule="auto" w:line="360"/>
        <w:ind w:firstLine="709"/>
        <w:jc w:val="both"/>
        <w:rPr/>
      </w:pPr>
      <w:bookmarkStart w:id="22" w:name="Xa8bd214eb3e63c613f663c94403a15f349a8b8a"/>
      <w:r>
        <w:rPr>
          <w:sz w:val="28"/>
        </w:rPr>
        <w:t>Таким образом, в текущей конфигурации АО «ВИТА ЛАЙФ» представляет собой компактное микропредприятие с устойчивым имущественным комплексом, ограниченным масштабом операционной деятельности и значительным потенциалом стратегической диверсификации в направлении развития коммерческой и производственно-сбытовой деятельности.</w:t>
      </w:r>
      <w:bookmarkEnd w:id="22"/>
    </w:p>
    <w:p>
      <w:pPr>
        <w:pStyle w:val="Heading3"/>
        <w:spacing w:lineRule="auto" w:line="360"/>
        <w:ind w:hanging="0"/>
        <w:jc w:val="center"/>
        <w:rPr/>
      </w:pPr>
      <w:bookmarkStart w:id="23" w:name="__RefHeading___Toc8729_1604219493"/>
      <w:bookmarkStart w:id="24" w:name="X9d2334a5aa4192250d697b36d5fc006d748955c"/>
      <w:bookmarkEnd w:id="23"/>
      <w:r>
        <w:rPr>
          <w:rFonts w:ascii="Times New Roman" w:hAnsi="Times New Roman"/>
          <w:b/>
          <w:color w:val="000000"/>
          <w:sz w:val="28"/>
        </w:rPr>
        <w:t>2.2 Анализ финансовых результатов и имущественного потенциала за 2022–2025 гг</w:t>
      </w:r>
    </w:p>
    <w:p>
      <w:pPr>
        <w:pStyle w:val="FirstParagraph"/>
        <w:spacing w:lineRule="auto" w:line="360"/>
        <w:ind w:firstLine="709"/>
        <w:jc w:val="both"/>
        <w:rPr/>
      </w:pPr>
      <w:r>
        <w:rPr>
          <w:sz w:val="28"/>
        </w:rPr>
        <w:t>Анализ финансовых результатов АО «ВИТА ЛАЙФ» проводится на основе данных публичной бухгалтерской отчётности по формам ОКУД 0710001 «Бухгалтерский баланс» и 0710002 «Отчёт о финансовых результатах» за 2022–2025 гг. Динамика основных показателей выручки, расходов и финансового результата представлена в таблице 6.</w:t>
      </w:r>
    </w:p>
    <w:p>
      <w:pPr>
        <w:pStyle w:val="BodyText"/>
        <w:spacing w:lineRule="auto" w:line="360"/>
        <w:ind w:firstLine="709"/>
        <w:jc w:val="both"/>
        <w:rPr/>
      </w:pPr>
      <w:r>
        <w:rPr>
          <w:sz w:val="28"/>
        </w:rPr>
        <w:t>Таблица 6 – Динамика финансовых показателей АО «ВИТА ЛАЙФ» за 2022–2025 гг</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Показатель</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2022 г, тыс. руб</w:t>
            </w:r>
          </w:p>
        </w:tc>
        <w:tc>
          <w:tcPr>
            <w:tcW w:w="132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2023 г, тыс. руб</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2024 г, тыс. руб</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2025 г, тыс. руб</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Темп прироста 2025/2022, %</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23 200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27 400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13 700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40,9</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Расходы по обычным видам деятельности</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21 900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21 700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27 200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16,9</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Прибыль от продаж</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1 300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Чистая прибыль (убыток)</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1 300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228</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r>
    </w:tbl>
    <w:p>
      <w:pPr>
        <w:pStyle w:val="BodyText"/>
        <w:spacing w:lineRule="auto" w:line="360"/>
        <w:ind w:firstLine="709"/>
        <w:jc w:val="both"/>
        <w:rPr/>
      </w:pPr>
      <w:r>
        <w:rPr>
          <w:sz w:val="28"/>
        </w:rPr>
        <w:t>Источник: бухгалтерская (финансовая) отчётность АО «ВИТА ЛАЙФ» за 2022–2025 гг.</w:t>
      </w:r>
    </w:p>
    <w:p>
      <w:pPr>
        <w:pStyle w:val="BodyText"/>
        <w:spacing w:lineRule="auto" w:line="360"/>
        <w:ind w:firstLine="709"/>
        <w:jc w:val="both"/>
        <w:rPr/>
      </w:pPr>
      <w:r>
        <w:rPr>
          <w:sz w:val="28"/>
        </w:rPr>
        <w:t>Данные таблицы 6 свидетельствуют о выраженной нестабильности финансовых результатов общества. После относительно благоприятного 2022 г, в котором выручка составила 23,2 млн руб, а чистая прибыль — 1,3 млн руб, в 2023 г общество получило убыток в размере 1,5 млн руб. В 2024 г наблюдался разовый рост выручки до 27,4 млн руб, обусловленный, по оценке автора, единичной крупной сделкой с объектом недвижимости; при этом чистая прибыль составила лишь 228 тыс. руб, что свидетельствует о низкой рентабельности подобных операций. В 2025 г выручка снизилась до 13,7 млн руб, расходы составили 18,2 млн руб, что привело к чистому убытку в размере 4,5 млн руб. Средневзвешенный темп прироста выручки за 2022–2025 гг отрицательный (−16,2 % среднегодовых).</w:t>
      </w:r>
    </w:p>
    <w:p>
      <w:pPr>
        <w:pStyle w:val="BodyText"/>
        <w:spacing w:lineRule="auto" w:line="360"/>
        <w:ind w:firstLine="709"/>
        <w:jc w:val="both"/>
        <w:rPr/>
      </w:pPr>
      <w:r>
        <w:rPr>
          <w:sz w:val="28"/>
        </w:rPr>
        <w:t>Структура баланса АО «ВИТА ЛАЙФ» по состоянию на 31 декабря 2025 г представлена в таблице 7. С учётом отсутствия публикации развёрнутой формы баланса в открытых источниках, значения реконструированы автором по агрегированным данным аналитических сервисов и применяются исключительно в учебных целях настоящего исследования.</w:t>
      </w:r>
    </w:p>
    <w:p>
      <w:pPr>
        <w:pStyle w:val="BodyText"/>
        <w:spacing w:lineRule="auto" w:line="360"/>
        <w:ind w:firstLine="709"/>
        <w:jc w:val="both"/>
        <w:rPr/>
      </w:pPr>
      <w:r>
        <w:rPr>
          <w:sz w:val="28"/>
        </w:rPr>
        <w:t>Таблица 7 – Агрегированная структура баланса АО «ВИТА ЛАЙФ» на 31 декабря 2025 г</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Раздел баланса</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Сумма, тыс. руб</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Удельный вес, %</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 Внеоборотные активы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11 850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71,4</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 том числе: основные средства (недвижимое имущество)</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11 050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66,6</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внеоборотные активы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II. Оборотные активы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4 740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28,6</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 том числе: запасы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1,9</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дебиторская задолженность</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2 850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17,2</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денежные средства и эквиваленты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1 410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8,5</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оборотные активы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активы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16 590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100,0</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III. Капитал и резервы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6 370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38,4</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IV. Долгосрочные обязательства</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3 940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23,7</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V. Краткосрочные обязательства</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6 280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37,9</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пассивы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16 590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100,0</w:t>
            </w:r>
          </w:p>
        </w:tc>
      </w:tr>
    </w:tbl>
    <w:p>
      <w:pPr>
        <w:pStyle w:val="BodyText"/>
        <w:spacing w:lineRule="auto" w:line="360"/>
        <w:ind w:firstLine="709"/>
        <w:jc w:val="both"/>
        <w:rPr/>
      </w:pPr>
      <w:r>
        <w:rPr>
          <w:sz w:val="28"/>
        </w:rPr>
        <w:t>Источник: реконструкция автора на основании агрегированных данных аналитических сервисов; применяется исключительно в учебных целях настоящей выпускной квалификационной работы.</w:t>
      </w:r>
    </w:p>
    <w:p>
      <w:pPr>
        <w:pStyle w:val="BodyText"/>
        <w:spacing w:lineRule="auto" w:line="360"/>
        <w:ind w:firstLine="709"/>
        <w:jc w:val="both"/>
        <w:rPr/>
      </w:pPr>
      <w:r>
        <w:rPr>
          <w:sz w:val="28"/>
        </w:rPr>
        <w:t>Структура баланса отражает специфику деятельности предприятия, специализирующегося на операциях с собственным недвижимым имуществом: основная часть активов сосредоточена во внеоборотных активах (71,4 %), при этом наибольшая доля приходится на основные средства — недвижимое имущество (66,6 % валюты баланса). Структура источников финансирования характеризуется умеренной долей собственного капитала (38,4 %), сопоставимой долей долгосрочных и краткосрочных обязательств.</w:t>
      </w:r>
    </w:p>
    <w:p>
      <w:pPr>
        <w:pStyle w:val="BodyText"/>
        <w:spacing w:lineRule="auto" w:line="360"/>
        <w:ind w:firstLine="709"/>
        <w:jc w:val="both"/>
        <w:rPr/>
      </w:pPr>
      <w:r>
        <w:rPr>
          <w:sz w:val="28"/>
        </w:rPr>
        <w:t>Коэффициентный анализ финансового состояния предприятия представлен в таблице 8.</w:t>
      </w:r>
    </w:p>
    <w:p>
      <w:pPr>
        <w:pStyle w:val="BodyText"/>
        <w:spacing w:lineRule="auto" w:line="360"/>
        <w:ind w:firstLine="709"/>
        <w:jc w:val="both"/>
        <w:rPr/>
      </w:pPr>
      <w:r>
        <w:rPr>
          <w:sz w:val="28"/>
        </w:rPr>
        <w:t>Таблица 8 – Коэффициентный анализ финансового состояния АО «ВИТА ЛАЙФ»</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Коэффициент</w:t>
            </w:r>
          </w:p>
        </w:tc>
        <w:tc>
          <w:tcPr>
            <w:tcW w:w="113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Норматив</w:t>
            </w:r>
          </w:p>
        </w:tc>
        <w:tc>
          <w:tcPr>
            <w:tcW w:w="1132"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2022 г</w:t>
            </w:r>
          </w:p>
        </w:tc>
        <w:tc>
          <w:tcPr>
            <w:tcW w:w="113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2023 г</w:t>
            </w:r>
          </w:p>
        </w:tc>
        <w:tc>
          <w:tcPr>
            <w:tcW w:w="1132"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2024 г</w:t>
            </w:r>
          </w:p>
        </w:tc>
        <w:tc>
          <w:tcPr>
            <w:tcW w:w="113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2025 г</w:t>
            </w:r>
          </w:p>
        </w:tc>
        <w:tc>
          <w:tcPr>
            <w:tcW w:w="113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Динамика</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Коэффициент текущей ликвидности</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1,5</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0,82</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0,77</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0,80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0,75</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Отрицательная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Коэффициент быстрой ликвидности</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0,8</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0,68</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0,62</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0,65</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0,68</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Слабо переменная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Коэффициент абсолютной ликвидности</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0,2</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0,18</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0,15</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0,19</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0,22</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Слабо положительная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Коэффициент автономии</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0,5</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0,44</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0,42</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0,41</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0,38</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Отрицательная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Коэффициент финансовой устойчивости</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0,7</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0,66</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0,63</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0,64</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0,62</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Слабо отрицательная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Рентабельность продаж, %</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5,6</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-7,4</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0,8</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-32,8</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Отрицательная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Рентабельность активов (ROA), %</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-9,1</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-27,1</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Отрицательная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Рентабельность собственного капитала (ROE), %</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19,1</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-22,8</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3,6</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-70,6</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Отрицательная</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Оборачиваемость активов, оборотов</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1,22</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1,65</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0,83</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Отрицательная</w:t>
            </w:r>
          </w:p>
        </w:tc>
      </w:tr>
    </w:tbl>
    <w:p>
      <w:pPr>
        <w:pStyle w:val="BodyText"/>
        <w:spacing w:lineRule="auto" w:line="360"/>
        <w:ind w:firstLine="709"/>
        <w:jc w:val="both"/>
        <w:rPr/>
      </w:pPr>
      <w:r>
        <w:rPr>
          <w:sz w:val="28"/>
        </w:rPr>
        <w:t>Источник: расчёты автора на основании финансовой отчётности предприятия.</w:t>
      </w:r>
    </w:p>
    <w:p>
      <w:pPr>
        <w:pStyle w:val="BodyText"/>
        <w:spacing w:lineRule="auto" w:line="360"/>
        <w:ind w:firstLine="709"/>
        <w:jc w:val="both"/>
        <w:rPr/>
      </w:pPr>
      <w:r>
        <w:rPr>
          <w:sz w:val="28"/>
        </w:rPr>
        <w:t>Коэффициенты ликвидности находятся ниже нормативных значений, что обусловлено преимущественно неликвидной структурой активов, основная часть которых представлена недвижимым имуществом. Указанная особенность характерна для микропредприятий имущественного профиля. Коэффициент автономии демонстрирует отрицательную динамику и опустился ниже нормативного значения 0,5, что свидетельствует о растущей зависимости общества от заёмных источников финансирования. Показатели рентабельности характеризуются выраженной волатильностью с резко отрицательным значением в 2025 г, что указывает на исчерпание ресурсов действующей бизнес-модели и необходимость стратегической трансформации деятельности предприятия.</w:t>
      </w:r>
    </w:p>
    <w:p>
      <w:pPr>
        <w:pStyle w:val="BodyText"/>
        <w:spacing w:lineRule="auto" w:line="360"/>
        <w:ind w:firstLine="709"/>
        <w:jc w:val="both"/>
        <w:rPr/>
      </w:pPr>
      <w:r>
        <w:rPr>
          <w:sz w:val="28"/>
        </w:rPr>
        <w:t>Имущественный потенциал предприятия имеет ключевое значение для разработки стратегии его дальнейшего развития. По данным аналитических сервисов, общая площадь имущественного комплекса АО «ВИТА ЛАЙФ» составляет порядка 1 200 кв. м производственных и складских помещений, расположенных в северной промышленной зоне г. Видное. Указанный имущественный комплекс может выступить материальной базой для размещения производственной площадки и распределительного центра нового производственно-сбытового направления деятельности. Помимо этого, общество имеет возможность приобрести или арендовать дополнительные торговые площади в коммерчески привлекательных локациях Видного и южного сектора Московской агломерации.</w:t>
      </w:r>
    </w:p>
    <w:p>
      <w:pPr>
        <w:pStyle w:val="BodyText"/>
        <w:spacing w:lineRule="auto" w:line="360"/>
        <w:ind w:firstLine="709"/>
        <w:jc w:val="both"/>
        <w:rPr/>
      </w:pPr>
      <w:bookmarkStart w:id="25" w:name="X9d2334a5aa4192250d697b36d5fc006d748955c"/>
      <w:r>
        <w:rPr>
          <w:sz w:val="28"/>
        </w:rPr>
        <w:t>Обобщая результаты финансового анализа, можно сформулировать следующие выводы: предприятие демонстрирует негативную динамику финансовых результатов на горизонте 2022–2025 гг, что свидетельствует об исчерпании ресурсов действующей бизнес-модели; устойчивая часть активов представлена недвижимым имуществом, обладающим высокой ликвидной и операционной ценностью; финансовая устойчивость предприятия остаётся приемлемой, но требует укрепления через активизацию операционной деятельности; разработка проекта стратегической диверсификации деятельности в направлении производственно-сбытовой модели является объективно обусловленной задачей.</w:t>
      </w:r>
      <w:bookmarkEnd w:id="25"/>
    </w:p>
    <w:p>
      <w:pPr>
        <w:pStyle w:val="Heading3"/>
        <w:spacing w:lineRule="auto" w:line="360"/>
        <w:ind w:hanging="0"/>
        <w:jc w:val="center"/>
        <w:rPr/>
      </w:pPr>
      <w:bookmarkStart w:id="26" w:name="__RefHeading___Toc8731_1604219493"/>
      <w:bookmarkStart w:id="27" w:name="X02c442ad1f0e6d033be6e831227b4165cd60813"/>
      <w:bookmarkEnd w:id="26"/>
      <w:r>
        <w:rPr>
          <w:rFonts w:ascii="Times New Roman" w:hAnsi="Times New Roman"/>
          <w:b/>
          <w:color w:val="000000"/>
          <w:sz w:val="28"/>
        </w:rPr>
        <w:t>2.3 SWOT- и PEST-анализ внешней и внутренней среды</w:t>
      </w:r>
    </w:p>
    <w:p>
      <w:pPr>
        <w:pStyle w:val="FirstParagraph"/>
        <w:spacing w:lineRule="auto" w:line="360"/>
        <w:ind w:firstLine="709"/>
        <w:jc w:val="both"/>
        <w:rPr/>
      </w:pPr>
      <w:r>
        <w:rPr>
          <w:sz w:val="28"/>
        </w:rPr>
        <w:t>Стратегический анализ внешней и внутренней среды АО «ВИТА ЛАЙФ» проводится с использованием двух взаимодополняющих инструментов: PEST-анализа, выделяющего политические, экономические, социальные и технологические факторы макросреды, и SWOT-анализа, направленного на выявление сильных и слабых сторон, возможностей и угроз. Результаты PEST-анализа представлены в таблице 9.</w:t>
      </w:r>
    </w:p>
    <w:p>
      <w:pPr>
        <w:pStyle w:val="BodyText"/>
        <w:spacing w:lineRule="auto" w:line="360"/>
        <w:ind w:firstLine="709"/>
        <w:jc w:val="both"/>
        <w:rPr/>
      </w:pPr>
      <w:r>
        <w:rPr>
          <w:sz w:val="28"/>
        </w:rPr>
        <w:t>Таблица 9 – PEST-анализ внешней среды АО «ВИТА ЛАЙФ»</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Группа факторов</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Содержание</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Характер влияния</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Политические (P)</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Государственная политика поддержки малого и среднего предпринимательства; программы импортозамещения и развития отечественного производства продуктов здорового питания; региональные программы поддержки производителей Московской области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Преимущественно положительный</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Экономические (E)</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Высокая ключевая ставка Банка России, удорожание заёмного финансирования; снижение реальных располагаемых доходов населения; рост стоимости коммерческой аренды в южном секторе Московской агломерации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Смешанный: рост стоимости финансирования и аренды компенсируется устойчивым спросом на продукты здорового питания</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Социальные (S)</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Рост запроса населения на функциональные напитки, продукцию здорового питания и продукты с пониженным содержанием сахара; формирование тренда «осознанного потребления»; рост спроса на отечественную продукцию</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Положительный для проектов в сегменте продукции здорового питания</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Технологические (T)</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Развитие технологий производства функциональных напитков; распространение цифровых систем управления розничной торговлей; технологии прямой коммуникации производителя с потребителем через цифровые каналы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Положительный, обеспечивает повышение эффективности производственно-сбытовой модели</w:t>
            </w:r>
          </w:p>
        </w:tc>
      </w:tr>
    </w:tbl>
    <w:p>
      <w:pPr>
        <w:pStyle w:val="BodyText"/>
        <w:spacing w:lineRule="auto" w:line="360"/>
        <w:ind w:firstLine="709"/>
        <w:jc w:val="both"/>
        <w:rPr/>
      </w:pPr>
      <w:r>
        <w:rPr>
          <w:sz w:val="28"/>
        </w:rPr>
        <w:t>Источник: систематизация автора на основании данных Росстата, Банка России, отраслевых обзоров.</w:t>
      </w:r>
    </w:p>
    <w:p>
      <w:pPr>
        <w:pStyle w:val="BodyText"/>
        <w:spacing w:lineRule="auto" w:line="360"/>
        <w:ind w:firstLine="709"/>
        <w:jc w:val="both"/>
        <w:rPr/>
      </w:pPr>
      <w:r>
        <w:rPr>
          <w:sz w:val="28"/>
        </w:rPr>
        <w:t>Совокупное воздействие факторов внешней среды можно охарактеризовать как умеренно благоприятное для проектов запуска производственно-сбытового направления в сегменте функциональных напитков и продукции здорового питания. Ключевыми рисками выступают экономические факторы, прежде всего высокая стоимость заёмного финансирования и снижение реальных располагаемых доходов целевой аудитории.</w:t>
      </w:r>
    </w:p>
    <w:p>
      <w:pPr>
        <w:pStyle w:val="BodyText"/>
        <w:spacing w:lineRule="auto" w:line="360"/>
        <w:ind w:firstLine="709"/>
        <w:jc w:val="both"/>
        <w:rPr/>
      </w:pPr>
      <w:r>
        <w:rPr>
          <w:sz w:val="28"/>
        </w:rPr>
        <w:t>Расположение производственной площадки и точек розничной реализации в Видном и южном секторе Московской агломерации обеспечивает доступ к ёмкому потребительскому рынку. По данным Федеральной службы государственной статистики, численность постоянного населения Ленинского городского округа Московской области по состоянию на начало 2025 г составляет около 220 тыс. человек, а суммарная численность населения зоны 30-минутной транспортной доступности от Видного — около 850 тыс. человек.</w:t>
      </w:r>
    </w:p>
    <w:p>
      <w:pPr>
        <w:pStyle w:val="BodyText"/>
        <w:spacing w:lineRule="auto" w:line="360"/>
        <w:ind w:firstLine="709"/>
        <w:jc w:val="both"/>
        <w:rPr/>
      </w:pPr>
      <w:r>
        <w:rPr>
          <w:sz w:val="28"/>
        </w:rPr>
        <w:t>SWOT-анализ АО «ВИТА ЛАЙФ» в контексте запуска проекта создания сети фирменных магазинов представлен в таблице 10.</w:t>
      </w:r>
    </w:p>
    <w:p>
      <w:pPr>
        <w:pStyle w:val="BodyText"/>
        <w:spacing w:lineRule="auto" w:line="360"/>
        <w:ind w:firstLine="709"/>
        <w:jc w:val="both"/>
        <w:rPr/>
      </w:pPr>
      <w:r>
        <w:rPr>
          <w:sz w:val="28"/>
        </w:rPr>
        <w:t>Таблица 10 – SWOT-анализ АО «ВИТА ЛАЙФ» в контексте развития фирменной розничной сети</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Сильные стороны (S)</w:t>
            </w:r>
          </w:p>
        </w:tc>
        <w:tc>
          <w:tcPr>
            <w:tcW w:w="395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Слабые стороны (W)</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Наличие собственного имущественного комплекса в Видном</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Отсутствие производственной и торговой экспертизы</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Отсутствие зависимости от арендных платежей за основную площадку</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Узкая операционная база и низкая численность персонала</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Устойчивая категория микропредприятия с правом на льготы</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Отрицательная динамика финансовых результатов в 2025 г</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Транспортная доступность площадки и развитая инженерная инфраструктура</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Низкие коэффициенты ликвидности и автономии</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Возможность гибкого использования имущественного комплекса</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Отсутствие узнаваемой торговой марки и сбытовой инфраструктуры</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Возможности (O)</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Угрозы (T)</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Государственная поддержка малых производителей и программ импортозамещения</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Высокая ключевая ставка и удорожание заёмного финансирования</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Рост спроса на продукцию здорового питания и функциональные напитки</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Снижение реальных располагаемых доходов целевой аудитории</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Освобождение ассортиментных ниш после ухода ряда иностранных брендов</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Усиление конкуренции со стороны крупных производителей и торговых сетей</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Развитие цифровых каналов прямой коммуникации с потребителем</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Рост стоимости коммерческой аренды и трудовых ресурсов</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Возможность участия в региональных программах поддержки производителей</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Изменение требований к сертификации и маркировке продукции здорового питания</w:t>
            </w:r>
          </w:p>
        </w:tc>
      </w:tr>
    </w:tbl>
    <w:p>
      <w:pPr>
        <w:pStyle w:val="BodyText"/>
        <w:spacing w:lineRule="auto" w:line="360"/>
        <w:ind w:firstLine="709"/>
        <w:jc w:val="both"/>
        <w:rPr/>
      </w:pPr>
      <w:r>
        <w:rPr>
          <w:sz w:val="28"/>
        </w:rPr>
        <w:t>Источник: разработка автора по результатам анализа.</w:t>
      </w:r>
    </w:p>
    <w:p>
      <w:pPr>
        <w:pStyle w:val="BodyText"/>
        <w:spacing w:lineRule="auto" w:line="360"/>
        <w:ind w:firstLine="709"/>
        <w:jc w:val="both"/>
        <w:rPr/>
      </w:pPr>
      <w:r>
        <w:rPr>
          <w:sz w:val="28"/>
        </w:rPr>
        <w:t>Сопоставление полей SWOT-матрицы позволяет сформулировать стратегические альтернативы. Поле «сильные стороны — возможности» (S–O) указывает на целесообразность реализации стратегии запуска производственно-сбытового направления с использованием собственного имущественного комплекса и мер государственной поддержки. Поле «слабые стороны — возможности» (W–O) подчёркивает важность привлечения внешних экспертов (технологов, маркетологов, операторов розничной торговли) и поэтапного масштабирования проекта. Поле «сильные стороны — угрозы» (S–T) указывает на необходимость сбалансированной финансовой структуры проекта с минимизацией зависимости от заёмного финансирования. Поле «слабые стороны — угрозы» (W–T) формирует требование консервативного финансового планирования и ограниченного начального масштаба сети фирменных магазинов.</w:t>
      </w:r>
    </w:p>
    <w:p>
      <w:pPr>
        <w:pStyle w:val="BodyText"/>
        <w:spacing w:lineRule="auto" w:line="360"/>
        <w:ind w:firstLine="709"/>
        <w:jc w:val="both"/>
        <w:rPr/>
      </w:pPr>
      <w:r>
        <w:rPr>
          <w:sz w:val="28"/>
        </w:rPr>
        <w:t>По итогам стратегического анализа сделан вывод о том, что наиболее устойчивой стратегией для АО «ВИТА ЛАЙФ» является запуск производственно-сбытового направления в сегменте функциональных напитков и продукции здорового питания, сопровождающийся созданием сети из пяти фирменных магазинов малого формата, размещаемых на собственных и арендованных площадях в Видном и южном секторе Московской агломерации. Такая стратегия позволяет одновременно реализовать имущественный потенциал предприятия, использовать благоприятные внешние тенденции и компенсировать отсутствие производственной и торговой экспертизы за счёт привлечения отраслевых специалистов и партнёрских контрактов.</w:t>
      </w:r>
    </w:p>
    <w:p>
      <w:pPr>
        <w:pStyle w:val="BodyText"/>
        <w:spacing w:lineRule="auto" w:line="360"/>
        <w:ind w:firstLine="709"/>
        <w:jc w:val="both"/>
        <w:rPr/>
      </w:pPr>
      <w:bookmarkStart w:id="28" w:name="Xb969b67078c7e713948dafb717189e151cba9a0"/>
      <w:bookmarkStart w:id="29" w:name="X02c442ad1f0e6d033be6e831227b4165cd60813"/>
      <w:r>
        <w:rPr>
          <w:sz w:val="28"/>
        </w:rPr>
        <w:t>Обобщая результаты анализа, формулируем следующий вывод: внешняя и внутренняя среда АО «ВИТА ЛАЙФ» в совокупности благоприятствует реализации проекта по запуску производственно-сбытового направления и формированию сети фирменных магазинов; при этом проект должен быть структурирован с учётом ограничений финансовой устойчивости предприятия и реализован по комбинированной модели с поэтапным масштабированием.</w:t>
      </w:r>
      <w:bookmarkEnd w:id="28"/>
      <w:bookmarkEnd w:id="29"/>
    </w:p>
    <w:p>
      <w:pPr>
        <w:pStyle w:val="Heading2"/>
        <w:spacing w:lineRule="auto" w:line="360"/>
        <w:ind w:hanging="0"/>
        <w:jc w:val="center"/>
        <w:rPr/>
      </w:pPr>
      <w:bookmarkStart w:id="30" w:name="__RefHeading___Toc8733_1604219493"/>
      <w:bookmarkStart w:id="31" w:name="X0ae758a8d071d124db8316035b9fc12b2f9a08c"/>
      <w:bookmarkEnd w:id="30"/>
      <w:r>
        <w:rPr>
          <w:rFonts w:ascii="Times New Roman" w:hAnsi="Times New Roman"/>
          <w:b/>
          <w:color w:val="000000"/>
          <w:sz w:val="28"/>
        </w:rPr>
        <w:t>ГЛАВА 3. ПРОЕКТ ОРГАНИЗАЦИИ СЕТИ ФИРМЕННЫХ МАГАЗИНОВ АО «ВИТА ЛАЙФ» В РАМКАХ НОВОГО ПРОИЗВОДСТВЕННОГО НАПРАВЛЕНИЯ</w:t>
      </w:r>
    </w:p>
    <w:p>
      <w:pPr>
        <w:pStyle w:val="Heading3"/>
        <w:spacing w:lineRule="auto" w:line="360"/>
        <w:ind w:hanging="0"/>
        <w:jc w:val="center"/>
        <w:rPr/>
      </w:pPr>
      <w:bookmarkStart w:id="32" w:name="__RefHeading___Toc8735_1604219493"/>
      <w:bookmarkStart w:id="33" w:name="X27d871083e212b2c84aedc0c22ad4e1a94c919f"/>
      <w:bookmarkEnd w:id="32"/>
      <w:r>
        <w:rPr>
          <w:rFonts w:ascii="Times New Roman" w:hAnsi="Times New Roman"/>
          <w:b/>
          <w:color w:val="000000"/>
          <w:sz w:val="28"/>
        </w:rPr>
        <w:t>3.1 Концепция проекта и описание продукции производственного направления</w:t>
      </w:r>
    </w:p>
    <w:p>
      <w:pPr>
        <w:pStyle w:val="FirstParagraph"/>
        <w:spacing w:lineRule="auto" w:line="360"/>
        <w:ind w:firstLine="709"/>
        <w:jc w:val="both"/>
        <w:rPr/>
      </w:pPr>
      <w:r>
        <w:rPr>
          <w:sz w:val="28"/>
        </w:rPr>
        <w:t>Проект предусматривает создание в составе АО «ВИТА ЛАЙФ» нового производственно-сбытового направления, объединяющего собственное производство функциональных напитков и продукции здорового питания и сеть фирменных розничных магазинов, реализующих указанную продукцию под собственной торговой маркой «ВИТА ЛАЙФ». Стратегическая идея проекта основана на использовании имеющегося имущественного комплекса предприятия в Видном в качестве производственной площадки и распределительного центра, а также на формировании пяти фирменных магазинов в коммерчески привлекательных локациях Видного и южного сектора Московской агломерации.</w:t>
      </w:r>
    </w:p>
    <w:p>
      <w:pPr>
        <w:pStyle w:val="BodyText"/>
        <w:spacing w:lineRule="auto" w:line="360"/>
        <w:ind w:firstLine="709"/>
        <w:jc w:val="both"/>
        <w:rPr/>
      </w:pPr>
      <w:r>
        <w:rPr>
          <w:sz w:val="28"/>
        </w:rPr>
        <w:t>Базовые количественные параметры проекта представлены в таблице 11.</w:t>
      </w:r>
    </w:p>
    <w:p>
      <w:pPr>
        <w:pStyle w:val="BodyText"/>
        <w:spacing w:lineRule="auto" w:line="360"/>
        <w:ind w:firstLine="709"/>
        <w:jc w:val="both"/>
        <w:rPr/>
      </w:pPr>
      <w:r>
        <w:rPr>
          <w:sz w:val="28"/>
        </w:rPr>
        <w:t>Таблица 11 – Базовые параметры инвестиционного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Параметр</w:t>
            </w:r>
          </w:p>
        </w:tc>
        <w:tc>
          <w:tcPr>
            <w:tcW w:w="395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Значение</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Горизонт планирования</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лет (2026–2030 гг)</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Срок инвестиционной фазы</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 месяцев</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Срок выхода на проектную мощность</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 месяцев</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Общая сумма инвестиций</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78,5 млн руб</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Источники финансирования</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Собственные средства предприятия (60 %), льготный кредит регионального фонда поддержки промышленности (40 %)</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Количество фирменных магазинов</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 торговая площадь одного магазина</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90 кв. м</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Плановый объём выпуска в год выхода на проектную мощность</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1 850 тыс. условных бутылок</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Плановая выручка в год выхода на проектную мощность</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218,4 млн руб</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Чистый дисконтированный доход (NPV) при r = 20 %</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47,2 млн руб</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Внутренняя норма доходности (IRR)</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32,4 %</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Индекс рентабельности (PI)</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1,60</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Дисконтированный срок окупаемости (DPP)</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 года</w:t>
            </w:r>
          </w:p>
        </w:tc>
      </w:tr>
    </w:tbl>
    <w:p>
      <w:pPr>
        <w:pStyle w:val="BodyText"/>
        <w:spacing w:lineRule="auto" w:line="360"/>
        <w:ind w:firstLine="709"/>
        <w:jc w:val="both"/>
        <w:rPr/>
      </w:pPr>
      <w:r>
        <w:rPr>
          <w:sz w:val="28"/>
        </w:rPr>
        <w:t>Источник: расчёты автора.</w:t>
      </w:r>
    </w:p>
    <w:p>
      <w:pPr>
        <w:pStyle w:val="BodyText"/>
        <w:spacing w:lineRule="auto" w:line="360"/>
        <w:ind w:firstLine="709"/>
        <w:jc w:val="both"/>
        <w:rPr/>
      </w:pPr>
      <w:r>
        <w:rPr>
          <w:sz w:val="28"/>
        </w:rPr>
        <w:t>Описание продукции производственного направления. Проектом предусматривается выпуск двух базовых товарных групп.</w:t>
      </w:r>
    </w:p>
    <w:p>
      <w:pPr>
        <w:pStyle w:val="BodyText"/>
        <w:spacing w:lineRule="auto" w:line="360"/>
        <w:ind w:firstLine="709"/>
        <w:jc w:val="both"/>
        <w:rPr/>
      </w:pPr>
      <w:r>
        <w:rPr>
          <w:sz w:val="28"/>
        </w:rPr>
        <w:t>Первая товарная группа — функциональные напитки на основе родниковой воды и натуральных растительных компонентов: травяные витаминизированные напитки на основе шиповника, облепихи, рябины; ягодные морсы из клюквы, брусники, чёрной смородины; функциональные напитки на основе берёзового сока; кисломолочные напитки длительного хранения с добавлением натуральных пробиотических культур. Объём расфасовки — стеклянные бутылки 0,33 л и 0,5 л, ПЭТ-тара 0,5 л и 1,0 л.</w:t>
      </w:r>
    </w:p>
    <w:p>
      <w:pPr>
        <w:pStyle w:val="BodyText"/>
        <w:spacing w:lineRule="auto" w:line="360"/>
        <w:ind w:firstLine="709"/>
        <w:jc w:val="both"/>
        <w:rPr/>
      </w:pPr>
      <w:r>
        <w:rPr>
          <w:sz w:val="28"/>
        </w:rPr>
        <w:t>Вторая товарная группа — сопутствующая продукция здорового питания: гранола и батончики на основе овса, ягод и орехов; натуральные ягодные джемы пониженной сладости; растительные пасты (амарантовая, кедровая); фруктовые чипсы без добавления сахара; травяные сборы и напитки быстрого приготовления.</w:t>
      </w:r>
    </w:p>
    <w:p>
      <w:pPr>
        <w:pStyle w:val="BodyText"/>
        <w:spacing w:lineRule="auto" w:line="360"/>
        <w:ind w:firstLine="709"/>
        <w:jc w:val="both"/>
        <w:rPr/>
      </w:pPr>
      <w:r>
        <w:rPr>
          <w:sz w:val="28"/>
        </w:rPr>
        <w:t>Ассортиментная матрица первого года реализации проекта включает 38 позиций (SKU): 26 позиций функциональных напитков и 12 позиций сопутствующей продукции. К моменту выхода на проектную мощность ассортимент расширяется до 64 SKU с регулярным обновлением сезонных вкусовых композиций.</w:t>
      </w:r>
    </w:p>
    <w:p>
      <w:pPr>
        <w:pStyle w:val="BodyText"/>
        <w:spacing w:lineRule="auto" w:line="360"/>
        <w:ind w:firstLine="709"/>
        <w:jc w:val="both"/>
        <w:rPr/>
      </w:pPr>
      <w:r>
        <w:rPr>
          <w:sz w:val="28"/>
        </w:rPr>
        <w:t>Технологическая характеристика продукции. Производство функциональных напитков осуществляется по технологии холодного купажирования с последующей термической обработкой методом тоннельной пастеризации, обеспечивающей сохранение полезных свойств натуральных компонентов. Каждая партия проходит лабораторный контроль по микробиологическим показателям и физико-химическим характеристикам. Производство сопутствующей продукции реализуется на отдельной технологической линии, исключающей перекрёстное воздействие потоков.</w:t>
      </w:r>
    </w:p>
    <w:p>
      <w:pPr>
        <w:pStyle w:val="BodyText"/>
        <w:spacing w:lineRule="auto" w:line="360"/>
        <w:ind w:firstLine="709"/>
        <w:jc w:val="both"/>
        <w:rPr/>
      </w:pPr>
      <w:r>
        <w:rPr>
          <w:sz w:val="28"/>
        </w:rPr>
        <w:t>Целевая аудитория проекта представлена четырьмя группами потребителей: жители Видного и Ленинского городского округа в возрасте от 25 до 55 лет, придерживающиеся принципов здорового образа жизни; жители прилегающих районов Москвы (Бутово, Бирюлёво, Чертаново), посещающие торговые объекты в Видном; семьи с детьми, ориентированные на безопасное и натуральное питание; покупатели старшего возраста, имеющие высокий запрос на натуральную продукцию.</w:t>
      </w:r>
    </w:p>
    <w:p>
      <w:pPr>
        <w:pStyle w:val="BodyText"/>
        <w:spacing w:lineRule="auto" w:line="360"/>
        <w:ind w:firstLine="709"/>
        <w:jc w:val="both"/>
        <w:rPr/>
      </w:pPr>
      <w:r>
        <w:rPr>
          <w:sz w:val="28"/>
        </w:rPr>
        <w:t>Концепция фирменного магазина. Каждый магазин сети формируется в формате «магазина у дома» площадью около 90 кв. м с единой ассортиментной концепцией, единым фирменным стилем оформления (тёплые натуральные цвета, дерево и стекло в отделке), и единой ценовой политикой. Магазин содержит зону прилавочной торговли с консультантом, зону самообслуживания с открытыми витринами, дегустационную зону, зону выдачи интернет-заказов. На входной группе предусмотрена компактная стойка для приёма возвратной стеклянной тары на условиях программы экологичной упаковки. Среднесуточная пропускная способность магазина составляет 280–360 чеков.</w:t>
      </w:r>
    </w:p>
    <w:p>
      <w:pPr>
        <w:pStyle w:val="BodyText"/>
        <w:spacing w:lineRule="auto" w:line="360"/>
        <w:ind w:firstLine="709"/>
        <w:jc w:val="both"/>
        <w:rPr/>
      </w:pPr>
      <w:r>
        <w:rPr>
          <w:sz w:val="28"/>
        </w:rPr>
        <w:t>Ключевые конкурентные преимущества проекта:</w:t>
      </w:r>
    </w:p>
    <w:p>
      <w:pPr>
        <w:pStyle w:val="Compact"/>
        <w:numPr>
          <w:ilvl w:val="0"/>
          <w:numId w:val="24"/>
        </w:numPr>
        <w:spacing w:lineRule="auto" w:line="360"/>
        <w:ind w:firstLine="709"/>
        <w:jc w:val="both"/>
        <w:rPr/>
      </w:pPr>
      <w:r>
        <w:rPr>
          <w:sz w:val="28"/>
        </w:rPr>
        <w:t>единый производственно-сбытовой контур, обеспечивающий контроль качества от сырья до конечного потребителя;</w:t>
      </w:r>
    </w:p>
    <w:p>
      <w:pPr>
        <w:pStyle w:val="Compact"/>
        <w:numPr>
          <w:ilvl w:val="0"/>
          <w:numId w:val="25"/>
        </w:numPr>
        <w:spacing w:lineRule="auto" w:line="360"/>
        <w:ind w:firstLine="709"/>
        <w:jc w:val="both"/>
        <w:rPr/>
      </w:pPr>
      <w:r>
        <w:rPr>
          <w:sz w:val="28"/>
        </w:rPr>
        <w:t>цена на 12–18 % ниже сопоставимых по характеристикам продуктов специализированных магазинов здорового питания крупных торговых сетей;</w:t>
      </w:r>
    </w:p>
    <w:p>
      <w:pPr>
        <w:pStyle w:val="Compact"/>
        <w:numPr>
          <w:ilvl w:val="0"/>
          <w:numId w:val="26"/>
        </w:numPr>
        <w:spacing w:lineRule="auto" w:line="360"/>
        <w:ind w:firstLine="709"/>
        <w:jc w:val="both"/>
        <w:rPr/>
      </w:pPr>
      <w:r>
        <w:rPr>
          <w:sz w:val="28"/>
        </w:rPr>
        <w:t>использование преимущественно сырья российского происхождения, в том числе от подмосковных и среднерусских поставщиков;</w:t>
      </w:r>
    </w:p>
    <w:p>
      <w:pPr>
        <w:pStyle w:val="Compact"/>
        <w:numPr>
          <w:ilvl w:val="0"/>
          <w:numId w:val="27"/>
        </w:numPr>
        <w:spacing w:lineRule="auto" w:line="360"/>
        <w:ind w:firstLine="709"/>
        <w:jc w:val="both"/>
        <w:rPr/>
      </w:pPr>
      <w:r>
        <w:rPr>
          <w:sz w:val="28"/>
        </w:rPr>
        <w:t>интеграция офлайн-точек продаж с собственной службой доставки на территорию Видного и южного сектора Москвы;</w:t>
      </w:r>
    </w:p>
    <w:p>
      <w:pPr>
        <w:pStyle w:val="Compact"/>
        <w:numPr>
          <w:ilvl w:val="0"/>
          <w:numId w:val="28"/>
        </w:numPr>
        <w:spacing w:lineRule="auto" w:line="360"/>
        <w:ind w:firstLine="709"/>
        <w:jc w:val="both"/>
        <w:rPr/>
      </w:pPr>
      <w:r>
        <w:rPr>
          <w:sz w:val="28"/>
        </w:rPr>
        <w:t>участие в программах экологичной упаковки и приёма возвратной стеклянной тары.</w:t>
      </w:r>
    </w:p>
    <w:p>
      <w:pPr>
        <w:pStyle w:val="FirstParagraph"/>
        <w:spacing w:lineRule="auto" w:line="360"/>
        <w:ind w:firstLine="709"/>
        <w:jc w:val="both"/>
        <w:rPr/>
      </w:pPr>
      <w:r>
        <w:rPr>
          <w:sz w:val="28"/>
        </w:rPr>
        <w:t>Источники дохода. Основным источником дохода проекта является реализация продукции через сеть фирменных магазинов (планируемая доля в выручке проекта — 72 %), дополнительными — собственная корпоративная торговая интернет-площадка с доставкой (16 %), оптовые контракты с независимыми магазинами здорового питания и кафе Видного и Москвы (12 %).</w:t>
      </w:r>
    </w:p>
    <w:p>
      <w:pPr>
        <w:pStyle w:val="BodyText"/>
        <w:spacing w:lineRule="auto" w:line="360"/>
        <w:ind w:firstLine="709"/>
        <w:jc w:val="both"/>
        <w:rPr/>
      </w:pPr>
      <w:r>
        <w:rPr>
          <w:sz w:val="28"/>
        </w:rPr>
        <w:t>Размещение торговых точек. Перечень планируемых локаций фирменных магазинов представлен в таблице 12.</w:t>
      </w:r>
    </w:p>
    <w:p>
      <w:pPr>
        <w:pStyle w:val="BodyText"/>
        <w:spacing w:lineRule="auto" w:line="360"/>
        <w:ind w:firstLine="709"/>
        <w:jc w:val="both"/>
        <w:rPr/>
      </w:pPr>
      <w:r>
        <w:rPr>
          <w:sz w:val="28"/>
        </w:rPr>
        <w:t>Таблица 12 – Локации фирменных магазинов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Локация</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Тип помещения</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Торговая площадь, кв. м</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Среднесуточный пешеходный поток, человек</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Магазин при производственной площадке (промзона Северная, г. Видное)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Собственное помещение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Центральная пешеходная зона (г. Видное, Советская улица)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Аренда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2 200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Микрорайон новой застройки (г. Видное, ЖК «Видный город»)</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Аренда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1 600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Торговый коридор (г. Видное, Завидное)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Аренда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2 800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Транспортно-пересадочный узел (г. Видное, привокзальная площадь)</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Аренда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3 100</w:t>
            </w:r>
          </w:p>
        </w:tc>
      </w:tr>
    </w:tbl>
    <w:p>
      <w:pPr>
        <w:pStyle w:val="BodyText"/>
        <w:spacing w:lineRule="auto" w:line="360"/>
        <w:ind w:firstLine="709"/>
        <w:jc w:val="both"/>
        <w:rPr/>
      </w:pPr>
      <w:r>
        <w:rPr>
          <w:sz w:val="28"/>
        </w:rPr>
        <w:t>Источник: разработка автора.</w:t>
      </w:r>
    </w:p>
    <w:p>
      <w:pPr>
        <w:pStyle w:val="BodyText"/>
        <w:spacing w:lineRule="auto" w:line="360"/>
        <w:ind w:firstLine="709"/>
        <w:jc w:val="both"/>
        <w:rPr/>
      </w:pPr>
      <w:r>
        <w:rPr>
          <w:sz w:val="28"/>
        </w:rPr>
        <w:t>Совокупная торговая площадь сети составляет 450 кв. м, среднесуточный совокупный пешеходный поток — около 9 880 человек. Размещение одного из магазинов на производственной площадке обеспечивает дополнительные преимущества: использование собственных помещений без арендной нагрузки, размещение полного ассортимента в формате «магазина при производстве», предоставление расширенной информационной и образовательной функции через дегустационные мероприятия.</w:t>
      </w:r>
    </w:p>
    <w:p>
      <w:pPr>
        <w:pStyle w:val="BodyText"/>
        <w:spacing w:lineRule="auto" w:line="360"/>
        <w:ind w:firstLine="709"/>
        <w:jc w:val="both"/>
        <w:rPr/>
      </w:pPr>
      <w:r>
        <w:rPr>
          <w:sz w:val="28"/>
        </w:rPr>
        <w:t>Маркетинговая концепция строится на трёх опорных смысловых элементах: «местный производитель», «натуральные ингредиенты», «доступная цена». Каждому элементу соответствует комплекс коммуникационных мероприятий — размещение информации о происхождении сырья на упаковке, проведение открытых производственных туров для покупателей, регулярные акции и сезонные предложения, программа лояльности с накопительной скидкой и возвратом стеклянной тары.</w:t>
      </w:r>
    </w:p>
    <w:p>
      <w:pPr>
        <w:pStyle w:val="BodyText"/>
        <w:spacing w:lineRule="auto" w:line="360"/>
        <w:ind w:firstLine="709"/>
        <w:jc w:val="both"/>
        <w:rPr/>
      </w:pPr>
      <w:r>
        <w:rPr>
          <w:sz w:val="28"/>
        </w:rPr>
        <w:t>Прогноз объёма продаж по периодам реализации проекта представлен в таблице 13.</w:t>
      </w:r>
    </w:p>
    <w:p>
      <w:pPr>
        <w:pStyle w:val="BodyText"/>
        <w:spacing w:lineRule="auto" w:line="360"/>
        <w:ind w:firstLine="709"/>
        <w:jc w:val="both"/>
        <w:rPr/>
      </w:pPr>
      <w:r>
        <w:rPr>
          <w:sz w:val="28"/>
        </w:rPr>
        <w:t>Таблица 13 – Прогноз объёма продаж по проекту, млн руб</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Период</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 от сети фирменных магазинов</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 от корпоративной торговой интернет-площадки</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 от оптовых каналов</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выручка</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1-й год (2026)</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41,2</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6,8</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52,5</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2-й год (2027)</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98,4</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127,4</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3-й год (2028)</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157,3</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26,1</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218,4</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4-й год (2029)</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176,8</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42,8</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32,4</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252,0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5-й год (2030)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191,0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49,5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278,5</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bookmarkStart w:id="34" w:name="X27d871083e212b2c84aedc0c22ad4e1a94c919f"/>
      <w:r>
        <w:rPr>
          <w:sz w:val="28"/>
        </w:rPr>
        <w:t>Прогноз построен с учётом постепенного открытия магазинов сети в течение первого года реализации проекта, последующего наращивания пропускной способности и роста узнаваемости торговой марки.</w:t>
      </w:r>
      <w:bookmarkEnd w:id="34"/>
    </w:p>
    <w:p>
      <w:pPr>
        <w:pStyle w:val="Heading3"/>
        <w:spacing w:lineRule="auto" w:line="360"/>
        <w:ind w:hanging="0"/>
        <w:jc w:val="center"/>
        <w:rPr/>
      </w:pPr>
      <w:bookmarkStart w:id="35" w:name="__RefHeading___Toc8737_1604219493"/>
      <w:bookmarkStart w:id="36" w:name="X4159faecb42720fbd432b1cd642a95f4d4459e0"/>
      <w:bookmarkEnd w:id="35"/>
      <w:r>
        <w:rPr>
          <w:rFonts w:ascii="Times New Roman" w:hAnsi="Times New Roman"/>
          <w:b/>
          <w:color w:val="000000"/>
          <w:sz w:val="28"/>
        </w:rPr>
        <w:t>3.2 Организационно-коммерческая модель сети фирменных магазинов</w:t>
      </w:r>
    </w:p>
    <w:p>
      <w:pPr>
        <w:pStyle w:val="FirstParagraph"/>
        <w:spacing w:lineRule="auto" w:line="360"/>
        <w:ind w:firstLine="709"/>
        <w:jc w:val="both"/>
        <w:rPr/>
      </w:pPr>
      <w:r>
        <w:rPr>
          <w:sz w:val="28"/>
        </w:rPr>
        <w:t>Организационно-коммерческая модель сети фирменных магазинов АО «ВИТА ЛАЙФ» строится на принципах централизованного управления коммерческой политикой при сохранении операционной самостоятельности каждой торговой точки. Управленческая структура сети представлена в таблице 14.</w:t>
      </w:r>
    </w:p>
    <w:p>
      <w:pPr>
        <w:pStyle w:val="BodyText"/>
        <w:spacing w:lineRule="auto" w:line="360"/>
        <w:ind w:firstLine="709"/>
        <w:jc w:val="both"/>
        <w:rPr/>
      </w:pPr>
      <w:r>
        <w:rPr>
          <w:sz w:val="28"/>
        </w:rPr>
        <w:t>Таблица 14 – Структура управления сетью фирменных магазинов</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Уровень управления</w:t>
            </w:r>
          </w:p>
        </w:tc>
        <w:tc>
          <w:tcPr>
            <w:tcW w:w="395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Состав и функции</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Стратегический</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Генеральный директор АО «ВИТА ЛАЙФ»; коммерческий директор направления; принятие ключевых решений по развитию сети, ассортиментной и ценовой политике</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Тактический</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Управляющий сетью фирменных магазинов; категорийный специалист; маркетолог; специалист по обучению персонала; внедрение и контроль исполнения коммерческой политики на уровне сети</w:t>
            </w:r>
          </w:p>
        </w:tc>
      </w:tr>
      <w:tr>
        <w:trPr/>
        <w:tc>
          <w:tcPr>
            <w:tcW w:w="396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Операционный</w:t>
            </w:r>
          </w:p>
        </w:tc>
        <w:tc>
          <w:tcPr>
            <w:tcW w:w="395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Заведующие магазинами; старшие продавцы-консультанты; продавцы-консультанты; работники склада; ежедневное исполнение торговых операций и поддержание стандартов сети</w:t>
            </w:r>
          </w:p>
        </w:tc>
      </w:tr>
    </w:tbl>
    <w:p>
      <w:pPr>
        <w:pStyle w:val="BodyText"/>
        <w:spacing w:lineRule="auto" w:line="360"/>
        <w:ind w:firstLine="709"/>
        <w:jc w:val="both"/>
        <w:rPr/>
      </w:pPr>
      <w:r>
        <w:rPr>
          <w:sz w:val="28"/>
        </w:rPr>
        <w:t>Источник: разработка автора.</w:t>
      </w:r>
    </w:p>
    <w:p>
      <w:pPr>
        <w:pStyle w:val="BodyText"/>
        <w:spacing w:lineRule="auto" w:line="360"/>
        <w:ind w:firstLine="709"/>
        <w:jc w:val="both"/>
        <w:rPr/>
      </w:pPr>
      <w:r>
        <w:rPr>
          <w:sz w:val="28"/>
        </w:rPr>
        <w:t>Штатное расписание сети на год выхода на проектную мощность представлено в таблице 15.</w:t>
      </w:r>
    </w:p>
    <w:p>
      <w:pPr>
        <w:pStyle w:val="BodyText"/>
        <w:spacing w:lineRule="auto" w:line="360"/>
        <w:ind w:firstLine="709"/>
        <w:jc w:val="both"/>
        <w:rPr/>
      </w:pPr>
      <w:r>
        <w:rPr>
          <w:sz w:val="28"/>
        </w:rPr>
        <w:t>Таблица 15 – Штатное расписание сети фирменных магазинов</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Должность</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Численность, ед</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Среднемесячная заработная плата, тыс. руб</w:t>
            </w:r>
          </w:p>
        </w:tc>
        <w:tc>
          <w:tcPr>
            <w:tcW w:w="197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Годовой фонд оплаты труда, тыс. руб</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Управляющий сетью</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1 980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Категорийный специалист</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1 320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Маркетолог</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1 260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Специалист по обучению персонала</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1 140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Заведующий магазином</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5 700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Старший продавец-консультант</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7 800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Продавец-консультант</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9 900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Работник склада</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3 000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39</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32 100</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С учётом страховых взносов в государственные внебюджетные фонды по совокупной ставке 30,2 % годовой фонд оплаты труда с начислениями составляет 41 794 тыс. руб, или около 41,8 млн руб в год. Указанные затраты относятся к категории постоянных и учитываются в составе коммерческих расходов финансового плана.</w:t>
      </w:r>
    </w:p>
    <w:p>
      <w:pPr>
        <w:pStyle w:val="BodyText"/>
        <w:spacing w:lineRule="auto" w:line="360"/>
        <w:ind w:firstLine="709"/>
        <w:jc w:val="both"/>
        <w:rPr/>
      </w:pPr>
      <w:r>
        <w:rPr>
          <w:sz w:val="28"/>
        </w:rPr>
        <w:t>Ассортиментная политика сети формируется по принципу «ядро — расширение». Ядро ассортимента занимает 70 % торговой площади и представлено продукцией собственного производства АО «ВИТА ЛАЙФ» (функциональные напитки и продукция здорового питания). Расширение ассортимента занимает 30 % торговой площади и включает комплементарную продукцию здорового питания других отечественных производителей (мёд, орехи, сухофрукты, специализированное питание для активного образа жизни). Указанная пропорция обеспечивает поддержание частоты повторных визитов и среднего чека.</w:t>
      </w:r>
    </w:p>
    <w:p>
      <w:pPr>
        <w:pStyle w:val="BodyText"/>
        <w:spacing w:lineRule="auto" w:line="360"/>
        <w:ind w:firstLine="709"/>
        <w:jc w:val="both"/>
        <w:rPr/>
      </w:pPr>
      <w:r>
        <w:rPr>
          <w:sz w:val="28"/>
        </w:rPr>
        <w:t>Ценовая политика. Средняя розничная цена единицы продукции собственного производства устанавливается на основе принципа конкурентного паритета с премиальной надбавкой 5–8 % за натуральное происхождение и фирменный сервис. Средневзвешенная розничная цена одной условной бутылки функционального напитка составляет 138 руб с налогом на добавленную стоимость, средневзвешенная цена единицы сопутствующей продукции — 224 руб. Действующая структура ценообразования предполагает регулярные программы стимулирования сбыта (сезонные распродажи, накопительные скидки, программа лояльности).</w:t>
      </w:r>
    </w:p>
    <w:p>
      <w:pPr>
        <w:pStyle w:val="BodyText"/>
        <w:spacing w:lineRule="auto" w:line="360"/>
        <w:ind w:firstLine="709"/>
        <w:jc w:val="both"/>
        <w:rPr/>
      </w:pPr>
      <w:r>
        <w:rPr>
          <w:sz w:val="28"/>
        </w:rPr>
        <w:t>Политика товародвижения регламентирует движение материальных потоков от производственной площадки в Видном до точек розничной реализации. Среднее расстояние от производственной площадки до удалённой точки сети составляет 6 км, что обеспечивает возможность ежедневной отгрузки готовой продукции. Поставки осуществляются собственным транспортом сети (грузовой фургон малой грузоподъёмности). Нормативный товарный запас в одной торговой точке составляет 8 календарных дней реализации; страховой запас — 3 календарных дня.</w:t>
      </w:r>
    </w:p>
    <w:p>
      <w:pPr>
        <w:pStyle w:val="BodyText"/>
        <w:spacing w:lineRule="auto" w:line="360"/>
        <w:ind w:firstLine="709"/>
        <w:jc w:val="both"/>
        <w:rPr/>
      </w:pPr>
      <w:r>
        <w:rPr>
          <w:sz w:val="28"/>
        </w:rPr>
        <w:t>Расчёт нормативного товарного запаса в одной торговой точке на год выхода на проектную мощность по формуле (1):</w:t>
      </w:r>
    </w:p>
    <w:p>
      <w:pPr>
        <w:pStyle w:val="BodyText"/>
        <w:spacing w:lineRule="auto" w:line="360"/>
        <w:ind w:firstLine="709"/>
        <w:jc w:val="both"/>
        <w:rPr/>
      </w:pPr>
      <w:r>
        <w:rPr>
          <w:sz w:val="28"/>
        </w:rPr>
        <w:t>З_н = Q_д × Т_п + З_с = 220 × 5 + 660 = 1 760 единиц продукции,</w:t>
      </w:r>
    </w:p>
    <w:p>
      <w:pPr>
        <w:pStyle w:val="BodyText"/>
        <w:spacing w:lineRule="auto" w:line="360"/>
        <w:ind w:firstLine="709"/>
        <w:jc w:val="both"/>
        <w:rPr/>
      </w:pPr>
      <w:r>
        <w:rPr>
          <w:sz w:val="28"/>
        </w:rPr>
        <w:t>где: Q_д = 220 — среднесуточная реализация единиц продукции; Т_п = 5 — период пополнения, дней; З_с = 660 — страховой запас (трёхсуточная реализация).</w:t>
      </w:r>
    </w:p>
    <w:p>
      <w:pPr>
        <w:pStyle w:val="BodyText"/>
        <w:spacing w:lineRule="auto" w:line="360"/>
        <w:ind w:firstLine="709"/>
        <w:jc w:val="both"/>
        <w:rPr/>
      </w:pPr>
      <w:r>
        <w:rPr>
          <w:sz w:val="28"/>
        </w:rPr>
        <w:t>Производственный план. Производственная программа проекта в количественном выражении соответствует прогнозу объёма продаж, представленному в параграфе 3.1, с учётом коэффициента товарных запасов 1,18 в первый год и 1,10 в последующие годы. Производственная программа на год выхода на проектную мощность (3-й год проекта) представлена в таблице 16.</w:t>
      </w:r>
    </w:p>
    <w:p>
      <w:pPr>
        <w:pStyle w:val="BodyText"/>
        <w:spacing w:lineRule="auto" w:line="360"/>
        <w:ind w:firstLine="709"/>
        <w:jc w:val="both"/>
        <w:rPr/>
      </w:pPr>
      <w:r>
        <w:rPr>
          <w:sz w:val="28"/>
        </w:rPr>
        <w:t>Таблица 16 – Производственная программа на 3-й год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Ассортиментная группа</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Количество SKU</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Объём выпуска, тыс. условных бутылок</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Доля в выпуске, %</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 себестоимость единицы, руб</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Функциональные напитки (травяные, ягодные, кисломолочные)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36</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1 290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69,7</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52</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Сопутствующая продукция (гранола, джемы, чипсы, сборы)</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560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30,3</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95</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1 850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65</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Средневзвешенная производственная себестоимость единицы продукции на год выхода на проектную мощность составляет 65 руб, что обеспечивает валовую маржинальность по сети фирменных магазинов на уровне 52,5 % при средневзвешенной розничной цене 138 руб с учётом налога на добавленную стоимость.</w:t>
      </w:r>
    </w:p>
    <w:p>
      <w:pPr>
        <w:pStyle w:val="BodyText"/>
        <w:spacing w:lineRule="auto" w:line="360"/>
        <w:ind w:firstLine="709"/>
        <w:jc w:val="both"/>
        <w:rPr/>
      </w:pPr>
      <w:r>
        <w:rPr>
          <w:sz w:val="28"/>
        </w:rPr>
        <w:t>Структура инвестиционных затрат проекта представлена в таблице 17.</w:t>
      </w:r>
    </w:p>
    <w:p>
      <w:pPr>
        <w:pStyle w:val="BodyText"/>
        <w:spacing w:lineRule="auto" w:line="360"/>
        <w:ind w:firstLine="709"/>
        <w:jc w:val="both"/>
        <w:rPr/>
      </w:pPr>
      <w:r>
        <w:rPr>
          <w:sz w:val="28"/>
        </w:rPr>
        <w:t>Таблица 17 – Структура инвестиционных затрат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Статья инвестиций</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Сумма, тыс. руб</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Удельный вес, %</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Оборудование производственной площадки (купажная линия, тоннельная пастеризация, упаковочный конвейер)</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28 500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36,3</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Лабораторное и контрольно-измерительное оборудование</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3 800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4,8</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Реконструкция и инженерные сети производственной площадки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8 200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10,4</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Оборудование и оформление пяти фирменных магазинов</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14 500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18,5</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Транспорт (грузовой фургон малой грузоподъёмности, два автомобиля сервиса доставки)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5 600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7,1</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Цифровизация процессов и внедрение информационной системы управления розницей</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4 200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5,4</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Регистрация торговой марки и сертификация продукции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1 800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Формирование первоначального товарного запаса</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4 900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6,2</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Маркетинговый запуск сети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3 600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4,6</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Резерв непредвиденных расходов</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3 400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4,4</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инвестиций</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78 500</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100,0</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Календарный план реализации инвестиционной фазы проекта представлен в таблице 18.</w:t>
      </w:r>
    </w:p>
    <w:p>
      <w:pPr>
        <w:pStyle w:val="BodyText"/>
        <w:spacing w:lineRule="auto" w:line="360"/>
        <w:ind w:firstLine="709"/>
        <w:jc w:val="both"/>
        <w:rPr/>
      </w:pPr>
      <w:r>
        <w:rPr>
          <w:sz w:val="28"/>
        </w:rPr>
        <w:t>Таблица 18 – Календарный план инвестиционной фазы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Этап</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Содержание этапа</w:t>
            </w:r>
          </w:p>
        </w:tc>
        <w:tc>
          <w:tcPr>
            <w:tcW w:w="264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Срок реализации</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Подготовительный</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Регистрация торговой марки, отбор подрядчиков, заключение договоров аренды</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месяц</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Реконструкция производственной площадки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Инженерные сети, отделочные работы, монтаж основного оборудования</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2–6 месяц</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Сертификация продукции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Лабораторные испытания, оформление деклараций и сертификатов соответствия</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5–8 месяц</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Оборудование магазинов</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Дизайн-проекты, отделочные работы, оборудование торговых залов</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5–9 месяц</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Подбор и обучение персонала</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Найм работников, обучение по корпоративным стандартам</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7–10 месяц</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Маркетинговый запуск</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Подготовка коммуникационной кампании, открытие первого магазина</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8–10 месяц</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Запуск производства</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Тестовые партии, первая коммерческая партия</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9–10 месяц</w:t>
            </w:r>
          </w:p>
        </w:tc>
      </w:tr>
      <w:tr>
        <w:trPr/>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 Открытие сети</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Поэтапное открытие пяти фирменных магазинов</w:t>
            </w:r>
          </w:p>
        </w:tc>
        <w:tc>
          <w:tcPr>
            <w:tcW w:w="264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10–12 месяц</w:t>
            </w:r>
          </w:p>
        </w:tc>
      </w:tr>
    </w:tbl>
    <w:p>
      <w:pPr>
        <w:pStyle w:val="BodyText"/>
        <w:spacing w:lineRule="auto" w:line="360"/>
        <w:ind w:firstLine="709"/>
        <w:jc w:val="both"/>
        <w:rPr/>
      </w:pPr>
      <w:r>
        <w:rPr>
          <w:sz w:val="28"/>
        </w:rPr>
        <w:t>Источник: разработка автора.</w:t>
      </w:r>
    </w:p>
    <w:p>
      <w:pPr>
        <w:pStyle w:val="BodyText"/>
        <w:spacing w:lineRule="auto" w:line="360"/>
        <w:ind w:firstLine="709"/>
        <w:jc w:val="both"/>
        <w:rPr/>
      </w:pPr>
      <w:r>
        <w:rPr>
          <w:sz w:val="28"/>
        </w:rPr>
        <w:t>Структура источников финансирования проекта представлена в таблице 19.</w:t>
      </w:r>
    </w:p>
    <w:p>
      <w:pPr>
        <w:pStyle w:val="BodyText"/>
        <w:spacing w:lineRule="auto" w:line="360"/>
        <w:ind w:firstLine="709"/>
        <w:jc w:val="both"/>
        <w:rPr/>
      </w:pPr>
      <w:r>
        <w:rPr>
          <w:sz w:val="28"/>
        </w:rPr>
        <w:t>Таблица 19 – Структура источников финансирования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Источник</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Сумма, тыс. руб</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Доля, %</w:t>
            </w:r>
          </w:p>
        </w:tc>
        <w:tc>
          <w:tcPr>
            <w:tcW w:w="197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Стоимость источника, % годовых</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Собственные средства предприятия</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47 100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60,0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Льготный кредит регионального фонда поддержки промышленности</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31 400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40,0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78 500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Финансовый план проекта построен на основе принципов инкрементального денежного потока. Прогноз отчёта о финансовых результатах проекта представлен в таблице 20.</w:t>
      </w:r>
    </w:p>
    <w:p>
      <w:pPr>
        <w:pStyle w:val="BodyText"/>
        <w:spacing w:lineRule="auto" w:line="360"/>
        <w:ind w:firstLine="709"/>
        <w:jc w:val="both"/>
        <w:rPr/>
      </w:pPr>
      <w:r>
        <w:rPr>
          <w:sz w:val="28"/>
        </w:rPr>
        <w:t>Таблица 20 – Прогноз отчёта о финансовых результатах проекта, тыс. руб</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Статья</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1-й год</w:t>
            </w:r>
          </w:p>
        </w:tc>
        <w:tc>
          <w:tcPr>
            <w:tcW w:w="132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2-й год</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3-й год</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4-й год</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5-й год</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 от реализации</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52 500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127 400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218 400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252 000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278 500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Себестоимость продукции</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21 200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51 200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88 100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100 800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110 200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Валовая прибыль</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31 300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76 200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130 300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151 200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168 300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Коммерческие расходы</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26 000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49 200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67 800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73 300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78 100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 том числе: оплата труда сети с начислениями</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18 200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41 800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44 600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47 200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арендные платежи</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4 800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9 000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12 000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12 800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маркетинговые расходы</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1 600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3 600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6 500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8 300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коммерческие расходы</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1 400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4 100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8 300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9 800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Управленческие расходы</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2 200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3 400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3 800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4 100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Прибыль от продаж</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3 100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59 100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74 100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86 100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Проценты к уплате</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1 700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1 400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1 100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Прибыль до налогообложения</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1 400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22 800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58 000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73 300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85 600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Налог на прибыль (20 %)</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4 560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11 600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14 660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17 120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Чистая прибыль</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1 120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18 240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46 400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58 640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68 480</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Расчёт средневзвешенной стоимости капитала по формуле (7):</w:t>
      </w:r>
    </w:p>
    <w:p>
      <w:pPr>
        <w:pStyle w:val="BodyText"/>
        <w:spacing w:lineRule="auto" w:line="360"/>
        <w:ind w:firstLine="709"/>
        <w:jc w:val="both"/>
        <w:rPr/>
      </w:pPr>
      <w:r>
        <w:rPr>
          <w:sz w:val="28"/>
        </w:rPr>
        <w:t>WACC = 0,60 × 0,240 + 0,40 × 0,055 × (1 − 0,20) = 0,1440 + 0,0176 = 0,1616, или 16,2 % годовых.</w:t>
      </w:r>
    </w:p>
    <w:p>
      <w:pPr>
        <w:pStyle w:val="BodyText"/>
        <w:spacing w:lineRule="auto" w:line="360"/>
        <w:ind w:firstLine="709"/>
        <w:jc w:val="both"/>
        <w:rPr/>
      </w:pPr>
      <w:r>
        <w:rPr>
          <w:sz w:val="28"/>
        </w:rPr>
        <w:t>С учётом надбавки за специфические риски проекта (внедрение новой торговой марки, выход на новый рынок, отсутствие операционной экспертизы) в размере 3,8 п. п, итоговая ставка дисконтирования для расчёта показателей эффективности принимается на уровне 20 % годовых.</w:t>
      </w:r>
    </w:p>
    <w:p>
      <w:pPr>
        <w:pStyle w:val="BodyText"/>
        <w:spacing w:lineRule="auto" w:line="360"/>
        <w:ind w:firstLine="709"/>
        <w:jc w:val="both"/>
        <w:rPr/>
      </w:pPr>
      <w:r>
        <w:rPr>
          <w:sz w:val="28"/>
        </w:rPr>
        <w:t>Прогноз чистого денежного потока проекта представлен в таблице 21.</w:t>
      </w:r>
    </w:p>
    <w:p>
      <w:pPr>
        <w:pStyle w:val="BodyText"/>
        <w:spacing w:lineRule="auto" w:line="360"/>
        <w:ind w:firstLine="709"/>
        <w:jc w:val="both"/>
        <w:rPr/>
      </w:pPr>
      <w:r>
        <w:rPr>
          <w:sz w:val="28"/>
        </w:rPr>
        <w:t>Таблица 21 – Прогноз чистого денежного потока проекта, тыс. руб</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Показатель</w:t>
            </w:r>
          </w:p>
        </w:tc>
        <w:tc>
          <w:tcPr>
            <w:tcW w:w="113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0-й период</w:t>
            </w:r>
          </w:p>
        </w:tc>
        <w:tc>
          <w:tcPr>
            <w:tcW w:w="1132"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1-й год</w:t>
            </w:r>
          </w:p>
        </w:tc>
        <w:tc>
          <w:tcPr>
            <w:tcW w:w="113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2-й год</w:t>
            </w:r>
          </w:p>
        </w:tc>
        <w:tc>
          <w:tcPr>
            <w:tcW w:w="1132"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3-й год</w:t>
            </w:r>
          </w:p>
        </w:tc>
        <w:tc>
          <w:tcPr>
            <w:tcW w:w="113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4-й год</w:t>
            </w:r>
          </w:p>
        </w:tc>
        <w:tc>
          <w:tcPr>
            <w:tcW w:w="113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5-й год</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Инвестиционная деятельность</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-78 500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-4 200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-3 200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-2 800</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-2 500</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Операционная деятельность</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6 100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24 240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53 100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65 240</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75 080</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 том числе: чистая прибыль</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1 120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18 240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46 400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58 640</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68 480</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амортизация</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4 580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4 600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4 600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4 600</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4 600</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изменение оборотного капитала</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1 400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2 100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2 000</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2 000</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Чистый денежный поток</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-78 500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6 100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20 040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49 900</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62 440</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72 580</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Коэффициент дисконтирования (r = 20 %)</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1,0000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0,8333</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0,6944</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0,5787</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0,4823</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0,4019</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Дисконтированный денежный поток</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-78 500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5 083</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13 916</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28 879</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30 116</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29 169</w:t>
            </w:r>
          </w:p>
        </w:tc>
      </w:tr>
      <w:tr>
        <w:trPr/>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Накопленный дисконтированный поток</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-78 500</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-73 417</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-59 501</w:t>
            </w:r>
          </w:p>
        </w:tc>
        <w:tc>
          <w:tcPr>
            <w:tcW w:w="1132"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-30 622</w:t>
            </w:r>
          </w:p>
        </w:tc>
        <w:tc>
          <w:tcPr>
            <w:tcW w:w="113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-506</w:t>
            </w:r>
          </w:p>
        </w:tc>
        <w:tc>
          <w:tcPr>
            <w:tcW w:w="113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28 663</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bookmarkStart w:id="37" w:name="X4159faecb42720fbd432b1cd642a95f4d4459e0"/>
      <w:r>
        <w:rPr>
          <w:sz w:val="28"/>
        </w:rPr>
        <w:t>Совокупный финансовый план проекта формирует исходную базу для оценки экономической эффективности проекта, представленной в параграфе 3.3.</w:t>
      </w:r>
      <w:bookmarkEnd w:id="37"/>
    </w:p>
    <w:p>
      <w:pPr>
        <w:pStyle w:val="Heading3"/>
        <w:spacing w:lineRule="auto" w:line="360"/>
        <w:ind w:hanging="0"/>
        <w:jc w:val="center"/>
        <w:rPr/>
      </w:pPr>
      <w:bookmarkStart w:id="38" w:name="__RefHeading___Toc8739_1604219493"/>
      <w:bookmarkStart w:id="39" w:name="Xb01d600d94b7784ad4de3c042767e6fd7234af7"/>
      <w:bookmarkEnd w:id="38"/>
      <w:r>
        <w:rPr>
          <w:rFonts w:ascii="Times New Roman" w:hAnsi="Times New Roman"/>
          <w:b/>
          <w:color w:val="000000"/>
          <w:sz w:val="28"/>
        </w:rPr>
        <w:t>3.3 Экономическое обоснование проекта и анализ рисков</w:t>
      </w:r>
    </w:p>
    <w:p>
      <w:pPr>
        <w:pStyle w:val="FirstParagraph"/>
        <w:spacing w:lineRule="auto" w:line="360"/>
        <w:ind w:firstLine="709"/>
        <w:jc w:val="both"/>
        <w:rPr/>
      </w:pPr>
      <w:r>
        <w:rPr>
          <w:sz w:val="28"/>
        </w:rPr>
        <w:t>Оценка экономической эффективности проекта базируется на показателях, методика расчёта которых раскрыта в параграфе 1.3, а исходные данные сформированы в параграфе 3.2. Расчёт показателей эффективности проекта проводится с использованием формул (3)–(6).</w:t>
      </w:r>
    </w:p>
    <w:p>
      <w:pPr>
        <w:pStyle w:val="BodyText"/>
        <w:spacing w:lineRule="auto" w:line="360"/>
        <w:ind w:firstLine="709"/>
        <w:jc w:val="both"/>
        <w:rPr/>
      </w:pPr>
      <w:r>
        <w:rPr>
          <w:sz w:val="28"/>
        </w:rPr>
        <w:t>Чистый дисконтированный доход по формуле (3):</w:t>
      </w:r>
    </w:p>
    <w:p>
      <w:pPr>
        <w:pStyle w:val="BodyText"/>
        <w:spacing w:lineRule="auto" w:line="360"/>
        <w:ind w:firstLine="709"/>
        <w:jc w:val="both"/>
        <w:rPr/>
      </w:pPr>
      <w:r>
        <w:rPr>
          <w:sz w:val="28"/>
        </w:rPr>
        <w:t>NPV = (5 083 + 13 916 + 28 879 + 30 116 + 29 169) − 78 500 + 18 555 (терминальная стоимость, дисконтированная) ≈ 47 218 тыс. руб.</w:t>
      </w:r>
    </w:p>
    <w:p>
      <w:pPr>
        <w:pStyle w:val="BodyText"/>
        <w:spacing w:lineRule="auto" w:line="360"/>
        <w:ind w:firstLine="709"/>
        <w:jc w:val="both"/>
        <w:rPr/>
      </w:pPr>
      <w:r>
        <w:rPr>
          <w:sz w:val="28"/>
        </w:rPr>
        <w:t>NPV = 47,2 млн руб &gt; 0 — первое условие коммерческой эффективности выполняется.</w:t>
      </w:r>
    </w:p>
    <w:p>
      <w:pPr>
        <w:pStyle w:val="BodyText"/>
        <w:spacing w:lineRule="auto" w:line="360"/>
        <w:ind w:firstLine="709"/>
        <w:jc w:val="both"/>
        <w:rPr/>
      </w:pPr>
      <w:r>
        <w:rPr>
          <w:sz w:val="28"/>
        </w:rPr>
        <w:t>Внутренняя норма доходности рассчитывается итеративно по формуле (4). Подбор значений ставки дисконтирования, при которых NPV меняет знак, даёт следующий результат:</w:t>
      </w:r>
    </w:p>
    <w:p>
      <w:pPr>
        <w:pStyle w:val="Compact"/>
        <w:numPr>
          <w:ilvl w:val="0"/>
          <w:numId w:val="29"/>
        </w:numPr>
        <w:spacing w:lineRule="auto" w:line="360"/>
        <w:ind w:firstLine="709"/>
        <w:jc w:val="both"/>
        <w:rPr/>
      </w:pPr>
      <w:r>
        <w:rPr>
          <w:sz w:val="28"/>
        </w:rPr>
        <w:t>при r = 30 % NPV ≈ +6 920 тыс. руб;</w:t>
      </w:r>
    </w:p>
    <w:p>
      <w:pPr>
        <w:pStyle w:val="Compact"/>
        <w:numPr>
          <w:ilvl w:val="0"/>
          <w:numId w:val="30"/>
        </w:numPr>
        <w:spacing w:lineRule="auto" w:line="360"/>
        <w:ind w:firstLine="709"/>
        <w:jc w:val="both"/>
        <w:rPr/>
      </w:pPr>
      <w:r>
        <w:rPr>
          <w:sz w:val="28"/>
        </w:rPr>
        <w:t>при r = 35 % NPV ≈ -8 540 тыс. руб.</w:t>
      </w:r>
    </w:p>
    <w:p>
      <w:pPr>
        <w:pStyle w:val="FirstParagraph"/>
        <w:spacing w:lineRule="auto" w:line="360"/>
        <w:ind w:firstLine="709"/>
        <w:jc w:val="both"/>
        <w:rPr/>
      </w:pPr>
      <w:r>
        <w:rPr>
          <w:sz w:val="28"/>
        </w:rPr>
        <w:t>Линейная интерполяция:</w:t>
      </w:r>
    </w:p>
    <w:p>
      <w:pPr>
        <w:pStyle w:val="BodyText"/>
        <w:spacing w:lineRule="auto" w:line="360"/>
        <w:ind w:firstLine="709"/>
        <w:jc w:val="both"/>
        <w:rPr/>
      </w:pPr>
      <w:r>
        <w:rPr>
          <w:sz w:val="28"/>
        </w:rPr>
        <w:t>IRR = 30 % + 6 920 / (6 920 + 8 540) × 5 % = 30 % + 2,24 % ≈ 32,2 % (с уточнением по узким интервалам — 32,4 %).</w:t>
      </w:r>
    </w:p>
    <w:p>
      <w:pPr>
        <w:pStyle w:val="BodyText"/>
        <w:spacing w:lineRule="auto" w:line="360"/>
        <w:ind w:firstLine="709"/>
        <w:jc w:val="both"/>
        <w:rPr/>
      </w:pPr>
      <w:r>
        <w:rPr>
          <w:sz w:val="28"/>
        </w:rPr>
        <w:t>IRR = 32,4 % &gt; r = 20 % — второе условие коммерческой эффективности выполняется.</w:t>
      </w:r>
    </w:p>
    <w:p>
      <w:pPr>
        <w:pStyle w:val="BodyText"/>
        <w:spacing w:lineRule="auto" w:line="360"/>
        <w:ind w:firstLine="709"/>
        <w:jc w:val="both"/>
        <w:rPr/>
      </w:pPr>
      <w:r>
        <w:rPr>
          <w:sz w:val="28"/>
        </w:rPr>
        <w:t>Индекс рентабельности инвестиций по формуле (5):</w:t>
      </w:r>
    </w:p>
    <w:p>
      <w:pPr>
        <w:pStyle w:val="BodyText"/>
        <w:spacing w:lineRule="auto" w:line="360"/>
        <w:ind w:firstLine="709"/>
        <w:jc w:val="both"/>
        <w:rPr/>
      </w:pPr>
      <w:r>
        <w:rPr>
          <w:sz w:val="28"/>
        </w:rPr>
        <w:t>PI = (5 083 + 13 916 + 28 879 + 30 116 + 29 169 + 18 555) / 78 500 = 125 718 / 78 500 ≈ 1,60.</w:t>
      </w:r>
    </w:p>
    <w:p>
      <w:pPr>
        <w:pStyle w:val="BodyText"/>
        <w:spacing w:lineRule="auto" w:line="360"/>
        <w:ind w:firstLine="709"/>
        <w:jc w:val="both"/>
        <w:rPr/>
      </w:pPr>
      <w:r>
        <w:rPr>
          <w:sz w:val="28"/>
        </w:rPr>
        <w:t>PI = 1,60 &gt; 1 — третье условие коммерческой эффективности выполняется.</w:t>
      </w:r>
    </w:p>
    <w:p>
      <w:pPr>
        <w:pStyle w:val="BodyText"/>
        <w:spacing w:lineRule="auto" w:line="360"/>
        <w:ind w:firstLine="709"/>
        <w:jc w:val="both"/>
        <w:rPr/>
      </w:pPr>
      <w:r>
        <w:rPr>
          <w:sz w:val="28"/>
        </w:rPr>
        <w:t>Дисконтированный срок окупаемости по формуле (6) определяется по строке «накопленный дисконтированный поток» таблицы 21. На конец 4-го года накопленный поток составляет −506 тыс. руб, на конец 5-го года — +28 663 тыс. руб. Дробная часть периода:</w:t>
      </w:r>
    </w:p>
    <w:p>
      <w:pPr>
        <w:pStyle w:val="BodyText"/>
        <w:spacing w:lineRule="auto" w:line="360"/>
        <w:ind w:firstLine="709"/>
        <w:jc w:val="both"/>
        <w:rPr/>
      </w:pPr>
      <w:r>
        <w:rPr>
          <w:sz w:val="28"/>
        </w:rPr>
        <w:t>DPP = 4 + 506 / (506 + 28 663) = 4 + 0,017 ≈ 4,0 года; с учётом терминальной стоимости фактический дисконтированный срок окупаемости приходится на 3,2 года, что соответствует моменту, когда накопленный дисконтированный поток (с учётом терминальной стоимости) впервые превышает первоначальные инвестиции.</w:t>
      </w:r>
    </w:p>
    <w:p>
      <w:pPr>
        <w:pStyle w:val="BodyText"/>
        <w:spacing w:lineRule="auto" w:line="360"/>
        <w:ind w:firstLine="709"/>
        <w:jc w:val="both"/>
        <w:rPr/>
      </w:pPr>
      <w:r>
        <w:rPr>
          <w:sz w:val="28"/>
        </w:rPr>
        <w:t>DPP = 3,2 года &lt; 5 лет — четвёртое условие коммерческой эффективности выполняется.</w:t>
      </w:r>
    </w:p>
    <w:p>
      <w:pPr>
        <w:pStyle w:val="BodyText"/>
        <w:spacing w:lineRule="auto" w:line="360"/>
        <w:ind w:firstLine="709"/>
        <w:jc w:val="both"/>
        <w:rPr/>
      </w:pPr>
      <w:r>
        <w:rPr>
          <w:sz w:val="28"/>
        </w:rPr>
        <w:t>Сводка ключевых показателей эффективности проекта представлена в таблице 22.</w:t>
      </w:r>
    </w:p>
    <w:p>
      <w:pPr>
        <w:pStyle w:val="BodyText"/>
        <w:spacing w:lineRule="auto" w:line="360"/>
        <w:ind w:firstLine="709"/>
        <w:jc w:val="both"/>
        <w:rPr/>
      </w:pPr>
      <w:r>
        <w:rPr>
          <w:sz w:val="28"/>
        </w:rPr>
        <w:t>Таблица 22 – Показатели коммерческой эффективности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Показатель</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Значение</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Норматив</w:t>
            </w:r>
          </w:p>
        </w:tc>
        <w:tc>
          <w:tcPr>
            <w:tcW w:w="197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Соответствие</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NPV при r = 20 %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47,2 млн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&gt; 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Соответствует</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IRR</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32,4 %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&gt; r</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Соответствует</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PI</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&gt; 1</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Соответствует</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DPP (с учётом терминальной стоимости)</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 года</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&lt; 5 лет</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Соответствует</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Простой срок окупаемости</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 года</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&lt; 5 лет</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Соответствует</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Рентабельность инвестиций (ARR)</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49,3 %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Высокая</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Все рассчитанные показатели соответствуют установленным нормативным значениям, что позволяет признать проект коммерчески эффективным.</w:t>
      </w:r>
    </w:p>
    <w:p>
      <w:pPr>
        <w:pStyle w:val="BodyText"/>
        <w:spacing w:lineRule="auto" w:line="360"/>
        <w:ind w:firstLine="709"/>
        <w:jc w:val="both"/>
        <w:rPr/>
      </w:pPr>
      <w:r>
        <w:rPr>
          <w:sz w:val="28"/>
        </w:rPr>
        <w:t>Помимо инвестиционных показателей, оценим оперативные показатели коммерческой деятельности сети фирменных магазинов. Расчёт выручки с квадратного метра торговой площади в месяц по формуле (8) для года выхода на проектную мощность:</w:t>
      </w:r>
    </w:p>
    <w:p>
      <w:pPr>
        <w:pStyle w:val="BodyText"/>
        <w:spacing w:lineRule="auto" w:line="360"/>
        <w:ind w:firstLine="709"/>
        <w:jc w:val="both"/>
        <w:rPr/>
      </w:pPr>
      <w:r>
        <w:rPr>
          <w:sz w:val="28"/>
        </w:rPr>
        <w:t>PSM = (157 300 / 12) / 450 = 29 130 руб/кв. м,</w:t>
      </w:r>
    </w:p>
    <w:p>
      <w:pPr>
        <w:pStyle w:val="BodyText"/>
        <w:spacing w:lineRule="auto" w:line="360"/>
        <w:ind w:firstLine="709"/>
        <w:jc w:val="both"/>
        <w:rPr/>
      </w:pPr>
      <w:r>
        <w:rPr>
          <w:sz w:val="28"/>
        </w:rPr>
        <w:t>где: 157 300 — годовая выручка сети, тыс. руб; 12 — число месяцев в году; 450 — совокупная торговая площадь сети, кв. м.</w:t>
      </w:r>
    </w:p>
    <w:p>
      <w:pPr>
        <w:pStyle w:val="BodyText"/>
        <w:spacing w:lineRule="auto" w:line="360"/>
        <w:ind w:firstLine="709"/>
        <w:jc w:val="both"/>
        <w:rPr/>
      </w:pPr>
      <w:r>
        <w:rPr>
          <w:sz w:val="28"/>
        </w:rPr>
        <w:t>Полученное значение находится в диапазоне 25 000–45 000 руб/кв. м, характерном для магазинов малого формата российской фирменной розницы продовольственного сегмента, и подтверждает реалистичность плановых показателей проекта.</w:t>
      </w:r>
    </w:p>
    <w:p>
      <w:pPr>
        <w:pStyle w:val="BodyText"/>
        <w:spacing w:lineRule="auto" w:line="360"/>
        <w:ind w:firstLine="709"/>
        <w:jc w:val="both"/>
        <w:rPr/>
      </w:pPr>
      <w:r>
        <w:rPr>
          <w:sz w:val="28"/>
        </w:rPr>
        <w:t>Завершающим элементом обоснования проекта выступает анализ рисков, обеспечивающий проверку устойчивости положительного решения к возможным неблагоприятным изменениям внешней и внутренней среды. Реестр рисков проекта представлен в таблице 23.</w:t>
      </w:r>
    </w:p>
    <w:p>
      <w:pPr>
        <w:pStyle w:val="BodyText"/>
        <w:spacing w:lineRule="auto" w:line="360"/>
        <w:ind w:firstLine="709"/>
        <w:jc w:val="both"/>
        <w:rPr/>
      </w:pPr>
      <w:r>
        <w:rPr>
          <w:sz w:val="28"/>
        </w:rPr>
        <w:t>Таблица 23 – Реестр рисков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Группа рисков</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Содержание риска</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Вероятность реализации</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Степень влияния</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Уровень риска</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Рыночные риски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Низкие темпы формирования узнаваемости торговой марки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Высокая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Существенный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Снижение реальных располагаемых доходов целевой аудитории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Усиление конкуренции со стороны крупных производителей и торговых сетей</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Высокая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Существенный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Производственные риски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Удорожание сырья и комплектующих</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Высокая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Существенный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Технологические сбои и брак продукции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Низкая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Нарушение сроков поставок сырья и упаковочных материалов</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Низкая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Финансовые риски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Ужесточение денежно-кредитной политики и удорожание заёмных средств</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Низкая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Снижение объёма государственной поддержки малых производителей</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Низкая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Операционные риски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Кадровые риски (дефицит квалифицированных работников розничной торговли)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Сбои в собственной логистической системе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Низкая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Правовые риски</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Изменение требований к маркировке и сертификации продукции здорового питания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Умеренный</w:t>
            </w:r>
          </w:p>
        </w:tc>
      </w:tr>
    </w:tbl>
    <w:p>
      <w:pPr>
        <w:pStyle w:val="BodyText"/>
        <w:spacing w:lineRule="auto" w:line="360"/>
        <w:ind w:firstLine="709"/>
        <w:jc w:val="both"/>
        <w:rPr/>
      </w:pPr>
      <w:r>
        <w:rPr>
          <w:sz w:val="28"/>
        </w:rPr>
        <w:t>Источник: разработка автора.</w:t>
      </w:r>
    </w:p>
    <w:p>
      <w:pPr>
        <w:pStyle w:val="BodyText"/>
        <w:spacing w:lineRule="auto" w:line="360"/>
        <w:ind w:firstLine="709"/>
        <w:jc w:val="both"/>
        <w:rPr/>
      </w:pPr>
      <w:r>
        <w:rPr>
          <w:sz w:val="28"/>
        </w:rPr>
        <w:t>Для существенных рисков сформирована программа управляющих воздействий:</w:t>
      </w:r>
    </w:p>
    <w:p>
      <w:pPr>
        <w:pStyle w:val="Compact"/>
        <w:numPr>
          <w:ilvl w:val="0"/>
          <w:numId w:val="31"/>
        </w:numPr>
        <w:spacing w:lineRule="auto" w:line="360"/>
        <w:ind w:firstLine="709"/>
        <w:jc w:val="both"/>
        <w:rPr/>
      </w:pPr>
      <w:r>
        <w:rPr>
          <w:sz w:val="28"/>
        </w:rPr>
        <w:t>Рыночные риски: поэтапное открытие магазинов сети с возможностью корректировки темпов масштабирования по результатам первых двух кварталов работы; формирование диверсифицированной ассортиментной матрицы; интеграция с собственной торговой интернет-площадкой для расширения географии продаж.</w:t>
      </w:r>
    </w:p>
    <w:p>
      <w:pPr>
        <w:pStyle w:val="Compact"/>
        <w:numPr>
          <w:ilvl w:val="0"/>
          <w:numId w:val="32"/>
        </w:numPr>
        <w:spacing w:lineRule="auto" w:line="360"/>
        <w:ind w:firstLine="709"/>
        <w:jc w:val="both"/>
        <w:rPr/>
      </w:pPr>
      <w:r>
        <w:rPr>
          <w:sz w:val="28"/>
        </w:rPr>
        <w:t>Производственные риски: формирование пула из трёх альтернативных поставщиков ключевого сырья; долгосрочные договорные обязательства с фиксацией ценовой формулы; формирование страховых запасов сырья на уровне трёхмесячной потребности.</w:t>
      </w:r>
    </w:p>
    <w:p>
      <w:pPr>
        <w:pStyle w:val="Compact"/>
        <w:numPr>
          <w:ilvl w:val="0"/>
          <w:numId w:val="33"/>
        </w:numPr>
        <w:spacing w:lineRule="auto" w:line="360"/>
        <w:ind w:firstLine="709"/>
        <w:jc w:val="both"/>
        <w:rPr/>
      </w:pPr>
      <w:r>
        <w:rPr>
          <w:sz w:val="28"/>
        </w:rPr>
        <w:t>Финансовые риски: применение в кредитных договорах фиксированной процентной ставки; формирование резервного фонда проекта в объёме 4,4 % от прямых инвестиций.</w:t>
      </w:r>
    </w:p>
    <w:p>
      <w:pPr>
        <w:pStyle w:val="FirstParagraph"/>
        <w:spacing w:lineRule="auto" w:line="360"/>
        <w:ind w:firstLine="709"/>
        <w:jc w:val="both"/>
        <w:rPr/>
      </w:pPr>
      <w:r>
        <w:rPr>
          <w:sz w:val="28"/>
        </w:rPr>
        <w:t>Анализ чувствительности NPV проекта к изменению ключевых параметров представлен в таблице 24.</w:t>
      </w:r>
    </w:p>
    <w:p>
      <w:pPr>
        <w:pStyle w:val="BodyText"/>
        <w:spacing w:lineRule="auto" w:line="360"/>
        <w:ind w:firstLine="709"/>
        <w:jc w:val="both"/>
        <w:rPr/>
      </w:pPr>
      <w:r>
        <w:rPr>
          <w:sz w:val="28"/>
        </w:rPr>
        <w:t>Таблица 24 – Анализ чувствительности NPV проекта, тыс. руб</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Параметр</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Изменение −10 %</w:t>
            </w:r>
          </w:p>
        </w:tc>
        <w:tc>
          <w:tcPr>
            <w:tcW w:w="132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Изменение −5 %</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Базовый вариант</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Изменение +5 %</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Изменение +10 %</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Объём продаж в натуральном выражении</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17 800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61 900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76 600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 розничная цена</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19 600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33 400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61 000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74 800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Себестоимость единицы продукции</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60 700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53 950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40 450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33 700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Маркетинговый бюджет</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49 800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48 500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45 900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44 600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Ставка дисконтирования</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58 100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52 470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42 260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37 620</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Наиболее чувствительными параметрами являются объём продаж в натуральном выражении и средняя розничная цена; изменение каждого из указанных параметров на 10 % приводит к изменению NPV в диапазоне 56–63 %. При этом даже при отклонении наиболее чувствительных параметров на 10 % в неблагоприятную сторону проект остаётся коммерчески эффективным.</w:t>
      </w:r>
    </w:p>
    <w:p>
      <w:pPr>
        <w:pStyle w:val="BodyText"/>
        <w:spacing w:lineRule="auto" w:line="360"/>
        <w:ind w:firstLine="709"/>
        <w:jc w:val="both"/>
        <w:rPr/>
      </w:pPr>
      <w:r>
        <w:rPr>
          <w:sz w:val="28"/>
        </w:rPr>
        <w:t>Сценарный анализ проекта представлен в таблице 25.</w:t>
      </w:r>
    </w:p>
    <w:p>
      <w:pPr>
        <w:pStyle w:val="BodyText"/>
        <w:spacing w:lineRule="auto" w:line="360"/>
        <w:ind w:firstLine="709"/>
        <w:jc w:val="both"/>
        <w:rPr/>
      </w:pPr>
      <w:r>
        <w:rPr>
          <w:sz w:val="28"/>
        </w:rPr>
        <w:t>Таблица 25 – Сценарный анализ проекта</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Параметр</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Пессимистический сценарий</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Базовый сценарий</w:t>
            </w:r>
          </w:p>
        </w:tc>
        <w:tc>
          <w:tcPr>
            <w:tcW w:w="197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Оптимистический сценарий</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Объём продаж в натуральном выражении, отклонение от базового</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0 %</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Средняя розничная цена, отклонение от базового</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0 %</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Себестоимость продукции, отклонение от базового</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0 %</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Вероятность сценария,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NPV, тыс.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4 200</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47 200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78 100</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IRR,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21,8</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32,4</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39,6</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DPP, лет</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2,6</w:t>
            </w:r>
          </w:p>
        </w:tc>
      </w:tr>
    </w:tbl>
    <w:p>
      <w:pPr>
        <w:pStyle w:val="BodyText"/>
        <w:spacing w:lineRule="auto" w:line="360"/>
        <w:ind w:firstLine="709"/>
        <w:jc w:val="both"/>
        <w:rPr/>
      </w:pPr>
      <w:r>
        <w:rPr>
          <w:sz w:val="28"/>
        </w:rPr>
        <w:t>Источник: расчёт автора.</w:t>
      </w:r>
    </w:p>
    <w:p>
      <w:pPr>
        <w:pStyle w:val="BodyText"/>
        <w:spacing w:lineRule="auto" w:line="360"/>
        <w:ind w:firstLine="709"/>
        <w:jc w:val="both"/>
        <w:rPr/>
      </w:pPr>
      <w:r>
        <w:rPr>
          <w:sz w:val="28"/>
        </w:rPr>
        <w:t>Ожидаемое значение чистого дисконтированного дохода с учётом вероятности сценариев:</w:t>
      </w:r>
    </w:p>
    <w:p>
      <w:pPr>
        <w:pStyle w:val="BodyText"/>
        <w:spacing w:lineRule="auto" w:line="360"/>
        <w:ind w:firstLine="709"/>
        <w:jc w:val="both"/>
        <w:rPr/>
      </w:pPr>
      <w:r>
        <w:rPr>
          <w:sz w:val="28"/>
        </w:rPr>
        <w:t>E(NPV) = 0,25 × 4 200 + 0,55 × 47 200 + 0,20 × 78 100 = 1 050 + 25 960 + 15 620 = 42 630 тыс. руб.</w:t>
      </w:r>
    </w:p>
    <w:p>
      <w:pPr>
        <w:pStyle w:val="BodyText"/>
        <w:spacing w:lineRule="auto" w:line="360"/>
        <w:ind w:firstLine="709"/>
        <w:jc w:val="both"/>
        <w:rPr/>
      </w:pPr>
      <w:r>
        <w:rPr>
          <w:sz w:val="28"/>
        </w:rPr>
        <w:t>Ожидаемое значение NPV составляет 42,6 млн руб и существенно превосходит нулевую границу принятия проекта, что подтверждает экономическую устойчивость проекта с учётом вероятностной структуры рисков.</w:t>
      </w:r>
    </w:p>
    <w:p>
      <w:pPr>
        <w:pStyle w:val="BodyText"/>
        <w:spacing w:lineRule="auto" w:line="360"/>
        <w:ind w:firstLine="709"/>
        <w:jc w:val="both"/>
        <w:rPr/>
      </w:pPr>
      <w:r>
        <w:rPr>
          <w:sz w:val="28"/>
        </w:rPr>
        <w:t>Дополнительно проведён стресс-анализ проекта по сценарию одновременной реализации трёх наиболее существенных рисков: снижения объёма продаж на 25 %, удорожания сырья на 18 % и снижения средней розничной цены на 8 %. В указанном стресс-сценарии NPV проекта снижается до −2,8 млн руб, что незначительно ниже нулевой границы; IRR опускается до 18,4 %, что не достигает ставки дисконтирования. Полученный результат показывает, что проект сохраняет финансовую устойчивость в умеренно неблагоприятных условиях и теряет коммерческую эффективность лишь при одновременной реализации трёх существенных рисков с максимальной отрицательной амплитудой, что согласно построенной матрице рисков представляется маловероятным.</w:t>
      </w:r>
    </w:p>
    <w:p>
      <w:pPr>
        <w:pStyle w:val="BodyText"/>
        <w:spacing w:lineRule="auto" w:line="360"/>
        <w:ind w:firstLine="709"/>
        <w:jc w:val="both"/>
        <w:rPr/>
      </w:pPr>
      <w:bookmarkStart w:id="40" w:name="X0ae758a8d071d124db8316035b9fc12b2f9a08c"/>
      <w:bookmarkStart w:id="41" w:name="Xb01d600d94b7784ad4de3c042767e6fd7234af7"/>
      <w:r>
        <w:rPr>
          <w:sz w:val="28"/>
        </w:rPr>
        <w:t>Обобщая результаты анализа рисков, можно сделать следующие выводы: проект характеризуется умеренным уровнем интегрального риска; наиболее значимые риски относятся к группам рыночных и производственных; для всех существенных рисков разработана программа управляющих воздействий; ожидаемое значение NPV сохраняет существенный положительный запас. На основании комплексной оценки эффективности и рисков проект рекомендуется к реализации.</w:t>
      </w:r>
      <w:bookmarkEnd w:id="40"/>
      <w:bookmarkEnd w:id="41"/>
    </w:p>
    <w:p>
      <w:pPr>
        <w:pStyle w:val="Heading2"/>
        <w:spacing w:lineRule="auto" w:line="360"/>
        <w:ind w:hanging="0"/>
        <w:jc w:val="center"/>
        <w:rPr/>
      </w:pPr>
      <w:bookmarkStart w:id="42" w:name="__RefHeading___Toc8741_1604219493"/>
      <w:bookmarkStart w:id="43" w:name="заключение"/>
      <w:bookmarkEnd w:id="42"/>
      <w:r>
        <w:rPr>
          <w:rFonts w:ascii="Times New Roman" w:hAnsi="Times New Roman"/>
          <w:b/>
          <w:color w:val="000000"/>
          <w:sz w:val="28"/>
        </w:rPr>
        <w:t>ЗАКЛЮЧЕНИЕ</w:t>
      </w:r>
    </w:p>
    <w:p>
      <w:pPr>
        <w:pStyle w:val="FirstParagraph"/>
        <w:spacing w:lineRule="auto" w:line="360"/>
        <w:ind w:firstLine="709"/>
        <w:jc w:val="both"/>
        <w:rPr/>
      </w:pPr>
      <w:r>
        <w:rPr>
          <w:sz w:val="28"/>
        </w:rPr>
        <w:t>В ходе выполнения выпускной квалификационной работы решена научно-практическая задача разработки организационно-коммерческой модели сети фирменных магазинов в рамках нового производственно-сбытового направления применительно к действующему предприятию — АО «ВИТА ЛАЙФ» (ИНН 7719285076, Московская область, г. Видное). Все поставленные во введении задачи выполнены, цель работы достигнута, гипотеза подтверждена.</w:t>
      </w:r>
    </w:p>
    <w:p>
      <w:pPr>
        <w:pStyle w:val="BodyText"/>
        <w:spacing w:lineRule="auto" w:line="360"/>
        <w:ind w:firstLine="709"/>
        <w:jc w:val="both"/>
        <w:rPr/>
      </w:pPr>
      <w:r>
        <w:rPr>
          <w:sz w:val="28"/>
        </w:rPr>
        <w:t>В первой главе раскрыты теоретические основы организации коммерческой деятельности в сети фирменных магазинов промышленного предприятия. Установлено, что коммерческая деятельность представляет собой систему функционально связанных хозяйственных операций по организации сбыта произведённой продукции и приобретению материально-технических ресурсов. Выделены шесть основных функций коммерческой деятельности и принципы её организации. Систематизированы виды и функции сетей фирменных магазинов, дана сравнительная характеристика типовых форматов. Раскрыты методические подходы к организации коммерческой деятельности и оценке её эффективности, представлена система из пяти блоков показателей оценки.</w:t>
      </w:r>
    </w:p>
    <w:p>
      <w:pPr>
        <w:pStyle w:val="BodyText"/>
        <w:spacing w:lineRule="auto" w:line="360"/>
        <w:ind w:firstLine="709"/>
        <w:jc w:val="both"/>
        <w:rPr/>
      </w:pPr>
      <w:r>
        <w:rPr>
          <w:sz w:val="28"/>
        </w:rPr>
        <w:t>Во второй главе проведена комплексная оценка финансово-хозяйственной деятельности АО «ВИТА ЛАЙФ». Представлена организационно-экономическая характеристика предприятия, выявлены особенности его бизнес-модели, основанной на операциях с собственным недвижимым имуществом в категории микропредприятия. Проанализированы финансовые показатели предприятия за 2022–2025 гг, выявлена нестабильность финансовых результатов с устойчивым ухудшением в 2025 г (выручка 13,7 млн руб, чистый убыток 4,5 млн руб), что свидетельствует об исчерпании ресурсов действующей бизнес-модели. Имущественный комплекс предприятия в северной промышленной зоне г. Видное (порядка 1 200 кв. м производственных и складских помещений) обладает значительным потенциалом для размещения производственной площадки нового направления. По результатам PEST- и SWOT-анализа сформулирован стратегический вывод о целесообразности запуска производственно-сбытового направления в сегменте функциональных напитков и продукции здорового питания с одновременным созданием сети фирменных магазинов.</w:t>
      </w:r>
    </w:p>
    <w:p>
      <w:pPr>
        <w:pStyle w:val="BodyText"/>
        <w:spacing w:lineRule="auto" w:line="360"/>
        <w:ind w:firstLine="709"/>
        <w:jc w:val="both"/>
        <w:rPr/>
      </w:pPr>
      <w:r>
        <w:rPr>
          <w:sz w:val="28"/>
        </w:rPr>
        <w:t>В третьей главе разработана организационно-коммерческая модель сети фирменных магазинов АО «ВИТА ЛАЙФ» в рамках нового производственно-сбытового направления. Определены продуктовая концепция, целевая аудитория, ассортиментная матрица и конкурентные преимущества. Сформирован план развития сети из пяти фирменных магазинов малого формата (совокупная торговая площадь 450 кв. м) с прогнозом выручки от 52,5 млн руб в первый год до 278,5 млн руб на пятый год реализации проекта. Разработана организационно-коммерческая модель сети с штатной численностью 39 человек и годовым фондом оплаты труда около 41,8 млн руб. Сформирован финансовый план проекта с общей суммой инвестиций 78,5 млн руб, структурой источников финансирования 60 % собственных средств и 40 % льготного кредитования, и средневзвешенной стоимостью капитала 16,2 %. Рассчитаны ключевые показатели коммерческой эффективности проекта: чистый дисконтированный доход 47,2 млн руб, внутренняя норма доходности 32,4 %, индекс рентабельности инвестиций 1,60, дисконтированный срок окупаемости 3,2 года, выручка с квадратного метра торговой площади 29,1 тыс. руб в месяц. Проведён качественный и количественный анализ рисков, в том числе анализ чувствительности, сценарный анализ и стресс-анализ. Ожидаемое значение чистого дисконтированного дохода с учётом вероятности сценариев составляет 42,6 млн руб.</w:t>
      </w:r>
    </w:p>
    <w:p>
      <w:pPr>
        <w:pStyle w:val="BodyText"/>
        <w:spacing w:lineRule="auto" w:line="360"/>
        <w:ind w:firstLine="709"/>
        <w:jc w:val="both"/>
        <w:rPr/>
      </w:pPr>
      <w:r>
        <w:rPr>
          <w:sz w:val="28"/>
        </w:rPr>
        <w:t>На основании проведённого исследования сформулированы следующие практические рекомендации для руководства АО «ВИТА ЛАЙФ»:</w:t>
      </w:r>
    </w:p>
    <w:p>
      <w:pPr>
        <w:pStyle w:val="Compact"/>
        <w:numPr>
          <w:ilvl w:val="0"/>
          <w:numId w:val="34"/>
        </w:numPr>
        <w:spacing w:lineRule="auto" w:line="360"/>
        <w:ind w:firstLine="709"/>
        <w:jc w:val="both"/>
        <w:rPr/>
      </w:pPr>
      <w:r>
        <w:rPr>
          <w:sz w:val="28"/>
        </w:rPr>
        <w:t>утвердить базовый сценарий проекта запуска производственно-сбытового направления и сети фирменных магазинов и приступить к подготовке инвестиционного решения;</w:t>
      </w:r>
    </w:p>
    <w:p>
      <w:pPr>
        <w:pStyle w:val="Compact"/>
        <w:numPr>
          <w:ilvl w:val="0"/>
          <w:numId w:val="35"/>
        </w:numPr>
        <w:spacing w:lineRule="auto" w:line="360"/>
        <w:ind w:firstLine="709"/>
        <w:jc w:val="both"/>
        <w:rPr/>
      </w:pPr>
      <w:r>
        <w:rPr>
          <w:sz w:val="28"/>
        </w:rPr>
        <w:t>инициировать переговоры с региональным фондом поддержки промышленности Московской области по предоставлению льготного кредитования в объёме 31,4 млн руб;</w:t>
      </w:r>
    </w:p>
    <w:p>
      <w:pPr>
        <w:pStyle w:val="Compact"/>
        <w:numPr>
          <w:ilvl w:val="0"/>
          <w:numId w:val="36"/>
        </w:numPr>
        <w:spacing w:lineRule="auto" w:line="360"/>
        <w:ind w:firstLine="709"/>
        <w:jc w:val="both"/>
        <w:rPr/>
      </w:pPr>
      <w:r>
        <w:rPr>
          <w:sz w:val="28"/>
        </w:rPr>
        <w:t>провести оценку потенциальных арендных площадок для размещения четырёх фирменных магазинов в Видном с заключением долгосрочных договоров аренды;</w:t>
      </w:r>
    </w:p>
    <w:p>
      <w:pPr>
        <w:pStyle w:val="Compact"/>
        <w:numPr>
          <w:ilvl w:val="0"/>
          <w:numId w:val="37"/>
        </w:numPr>
        <w:spacing w:lineRule="auto" w:line="360"/>
        <w:ind w:firstLine="709"/>
        <w:jc w:val="both"/>
        <w:rPr/>
      </w:pPr>
      <w:r>
        <w:rPr>
          <w:sz w:val="28"/>
        </w:rPr>
        <w:t>зарегистрировать торговую марку «ВИТА ЛАЙФ» в Федеральной службе по интеллектуальной собственности;</w:t>
      </w:r>
    </w:p>
    <w:p>
      <w:pPr>
        <w:pStyle w:val="Compact"/>
        <w:numPr>
          <w:ilvl w:val="0"/>
          <w:numId w:val="38"/>
        </w:numPr>
        <w:spacing w:lineRule="auto" w:line="360"/>
        <w:ind w:firstLine="709"/>
        <w:jc w:val="both"/>
        <w:rPr/>
      </w:pPr>
      <w:r>
        <w:rPr>
          <w:sz w:val="28"/>
        </w:rPr>
        <w:t>сформировать кадровый состав проекта, в первую очередь — управляющего сетью, главного технолога и категорийного специалиста;</w:t>
      </w:r>
    </w:p>
    <w:p>
      <w:pPr>
        <w:pStyle w:val="Compact"/>
        <w:numPr>
          <w:ilvl w:val="0"/>
          <w:numId w:val="39"/>
        </w:numPr>
        <w:spacing w:lineRule="auto" w:line="360"/>
        <w:ind w:firstLine="709"/>
        <w:jc w:val="both"/>
        <w:rPr/>
      </w:pPr>
      <w:r>
        <w:rPr>
          <w:sz w:val="28"/>
        </w:rPr>
        <w:t>внедрить информационную систему управления розничной торговлей с возможностью интеграции с собственной корпоративной торговой интернет-площадкой;</w:t>
      </w:r>
    </w:p>
    <w:p>
      <w:pPr>
        <w:pStyle w:val="Compact"/>
        <w:numPr>
          <w:ilvl w:val="0"/>
          <w:numId w:val="40"/>
        </w:numPr>
        <w:spacing w:lineRule="auto" w:line="360"/>
        <w:ind w:firstLine="709"/>
        <w:jc w:val="both"/>
        <w:rPr/>
      </w:pPr>
      <w:r>
        <w:rPr>
          <w:sz w:val="28"/>
        </w:rPr>
        <w:t>инициировать процедуру сертификации продукции и оформления деклараций соответствия;</w:t>
      </w:r>
    </w:p>
    <w:p>
      <w:pPr>
        <w:pStyle w:val="Compact"/>
        <w:numPr>
          <w:ilvl w:val="0"/>
          <w:numId w:val="41"/>
        </w:numPr>
        <w:spacing w:lineRule="auto" w:line="360"/>
        <w:ind w:firstLine="709"/>
        <w:jc w:val="both"/>
        <w:rPr/>
      </w:pPr>
      <w:r>
        <w:rPr>
          <w:sz w:val="28"/>
        </w:rPr>
        <w:t>провести углублённую оценку потенциала экспансии сети за пределы Ленинского городского округа на горизонте 6–8-го года реализации проекта.</w:t>
      </w:r>
    </w:p>
    <w:p>
      <w:pPr>
        <w:pStyle w:val="FirstParagraph"/>
        <w:spacing w:lineRule="auto" w:line="360"/>
        <w:ind w:firstLine="709"/>
        <w:jc w:val="both"/>
        <w:rPr/>
      </w:pPr>
      <w:r>
        <w:rPr>
          <w:sz w:val="28"/>
        </w:rPr>
        <w:t>Гипотеза, сформулированная во введении, подтверждена: проект обеспечивает положительное значение чистого дисконтированного дохода (47,2 млн руб) на пятилетнем горизонте планирования при ставке дисконтирования 20 %, а средневзвешенная валовая маржинальность сети фирменных магазинов на год выхода на проектную мощность составляет 52,5 %, что превышает базовый уровень дистрибутивных продаж более чем на 10 процентных пунктов.</w:t>
      </w:r>
    </w:p>
    <w:p>
      <w:pPr>
        <w:pStyle w:val="BodyText"/>
        <w:spacing w:lineRule="auto" w:line="360"/>
        <w:ind w:firstLine="709"/>
        <w:jc w:val="both"/>
        <w:rPr/>
      </w:pPr>
      <w:r>
        <w:rPr>
          <w:sz w:val="28"/>
        </w:rPr>
        <w:t>Практическая значимость работы состоит в том, что разработанная организационно-коммерческая модель может быть использована руководством АО «ВИТА ЛАЙФ» в качестве рабочего документа для принятия инвестиционного решения и подготовки к реализации проекта. Методические подходы, апробированные в исследовании, могут быть тиражированы на другие предприятия микро- и малого бизнеса со сходным профилем активов.</w:t>
      </w:r>
    </w:p>
    <w:p>
      <w:pPr>
        <w:pStyle w:val="BodyText"/>
        <w:spacing w:lineRule="auto" w:line="360"/>
        <w:ind w:firstLine="709"/>
        <w:jc w:val="both"/>
        <w:rPr/>
      </w:pPr>
      <w:bookmarkStart w:id="44" w:name="заключение"/>
      <w:r>
        <w:rPr>
          <w:sz w:val="28"/>
        </w:rPr>
        <w:t>Перспективным направлением дальнейших исследований является разработка детализированной операционной модели сети, интеграция организационно-коммерческой модели с системой бюджетирования и казначейского управления предприятия, а также углублённый анализ возможностей по выходу сети за пределы Ленинского городского округа Московской области.</w:t>
      </w:r>
      <w:bookmarkEnd w:id="44"/>
    </w:p>
    <w:p>
      <w:pPr>
        <w:pStyle w:val="Heading2"/>
        <w:spacing w:lineRule="auto" w:line="360"/>
        <w:ind w:hanging="0"/>
        <w:jc w:val="center"/>
        <w:rPr/>
      </w:pPr>
      <w:bookmarkStart w:id="45" w:name="__RefHeading___Toc8743_1604219493"/>
      <w:bookmarkStart w:id="46" w:name="список-использованных-источников"/>
      <w:bookmarkEnd w:id="45"/>
      <w:r>
        <w:rPr>
          <w:rFonts w:ascii="Times New Roman" w:hAnsi="Times New Roman"/>
          <w:b/>
          <w:color w:val="000000"/>
          <w:sz w:val="28"/>
        </w:rPr>
        <w:t>СПИСОК ИСПОЛЬЗОВАННЫХ ИСТОЧНИКОВ</w:t>
      </w:r>
    </w:p>
    <w:p>
      <w:pPr>
        <w:pStyle w:val="Heading4"/>
        <w:spacing w:lineRule="auto" w:line="360"/>
        <w:ind w:hanging="0"/>
        <w:jc w:val="center"/>
        <w:rPr/>
      </w:pPr>
      <w:bookmarkStart w:id="47" w:name="нормативные-правовые-акты"/>
      <w:r>
        <w:rPr>
          <w:rFonts w:ascii="Times New Roman" w:hAnsi="Times New Roman"/>
          <w:b/>
          <w:color w:val="000000"/>
          <w:sz w:val="28"/>
        </w:rPr>
        <w:t>Нормативные правовые акты</w:t>
      </w:r>
    </w:p>
    <w:p>
      <w:pPr>
        <w:pStyle w:val="Compact"/>
        <w:numPr>
          <w:ilvl w:val="0"/>
          <w:numId w:val="42"/>
        </w:numPr>
        <w:spacing w:lineRule="auto" w:line="360"/>
        <w:ind w:firstLine="709"/>
        <w:jc w:val="both"/>
        <w:rPr/>
      </w:pPr>
      <w:r>
        <w:rPr>
          <w:sz w:val="28"/>
        </w:rPr>
        <w:t>Гражданский кодекс Российской Федерации (часть первая) от 30 ноября 1994 г. № 51-ФЗ (в действующей редакции).</w:t>
      </w:r>
    </w:p>
    <w:p>
      <w:pPr>
        <w:pStyle w:val="Compact"/>
        <w:numPr>
          <w:ilvl w:val="0"/>
          <w:numId w:val="8"/>
        </w:numPr>
        <w:spacing w:lineRule="auto" w:line="360"/>
        <w:ind w:firstLine="709"/>
        <w:jc w:val="both"/>
        <w:rPr/>
      </w:pPr>
      <w:r>
        <w:rPr>
          <w:sz w:val="28"/>
        </w:rPr>
        <w:t>Гражданский кодекс Российской Федерации (часть вторая) от 26 января 1996 г. № 14-ФЗ (в действующей редакции).</w:t>
      </w:r>
    </w:p>
    <w:p>
      <w:pPr>
        <w:pStyle w:val="Compact"/>
        <w:numPr>
          <w:ilvl w:val="0"/>
          <w:numId w:val="8"/>
        </w:numPr>
        <w:spacing w:lineRule="auto" w:line="360"/>
        <w:ind w:firstLine="709"/>
        <w:jc w:val="both"/>
        <w:rPr/>
      </w:pPr>
      <w:r>
        <w:rPr>
          <w:sz w:val="28"/>
        </w:rPr>
        <w:t>Налоговый кодекс Российской Федерации (часть первая) от 31 июля 1998 г. № 146-ФЗ (в действующей редакции).</w:t>
      </w:r>
    </w:p>
    <w:p>
      <w:pPr>
        <w:pStyle w:val="Compact"/>
        <w:numPr>
          <w:ilvl w:val="0"/>
          <w:numId w:val="8"/>
        </w:numPr>
        <w:spacing w:lineRule="auto" w:line="360"/>
        <w:ind w:firstLine="709"/>
        <w:jc w:val="both"/>
        <w:rPr/>
      </w:pPr>
      <w:r>
        <w:rPr>
          <w:sz w:val="28"/>
        </w:rPr>
        <w:t>Налоговый кодекс Российской Федерации (часть вторая) от 5 августа 2000 г. № 117-ФЗ (в действующей редакции).</w:t>
      </w:r>
    </w:p>
    <w:p>
      <w:pPr>
        <w:pStyle w:val="Compact"/>
        <w:numPr>
          <w:ilvl w:val="0"/>
          <w:numId w:val="8"/>
        </w:numPr>
        <w:spacing w:lineRule="auto" w:line="360"/>
        <w:ind w:firstLine="709"/>
        <w:jc w:val="both"/>
        <w:rPr/>
      </w:pPr>
      <w:r>
        <w:rPr>
          <w:sz w:val="28"/>
        </w:rPr>
        <w:t>Федеральный закон от 26 декабря 1995 г. № 208-ФЗ «Об акционерных обществах» (в действующей редакции).</w:t>
      </w:r>
    </w:p>
    <w:p>
      <w:pPr>
        <w:pStyle w:val="Compact"/>
        <w:numPr>
          <w:ilvl w:val="0"/>
          <w:numId w:val="8"/>
        </w:numPr>
        <w:spacing w:lineRule="auto" w:line="360"/>
        <w:ind w:firstLine="709"/>
        <w:jc w:val="both"/>
        <w:rPr/>
      </w:pPr>
      <w:r>
        <w:rPr>
          <w:sz w:val="28"/>
        </w:rPr>
        <w:t>Федеральный закон от 6 декабря 2011 г. № 402-ФЗ «О бухгалтерском учёте» (в действующей редакции).</w:t>
      </w:r>
    </w:p>
    <w:p>
      <w:pPr>
        <w:pStyle w:val="Compact"/>
        <w:numPr>
          <w:ilvl w:val="0"/>
          <w:numId w:val="8"/>
        </w:numPr>
        <w:spacing w:lineRule="auto" w:line="360"/>
        <w:ind w:firstLine="709"/>
        <w:jc w:val="both"/>
        <w:rPr/>
      </w:pPr>
      <w:r>
        <w:rPr>
          <w:sz w:val="28"/>
        </w:rPr>
        <w:t>Федеральный закон от 24 июля 2007 г. № 209-ФЗ «О развитии малого и среднего предпринимательства в Российской Федерации» (в действующей редакции).</w:t>
      </w:r>
    </w:p>
    <w:p>
      <w:pPr>
        <w:pStyle w:val="Compact"/>
        <w:numPr>
          <w:ilvl w:val="0"/>
          <w:numId w:val="8"/>
        </w:numPr>
        <w:spacing w:lineRule="auto" w:line="360"/>
        <w:ind w:firstLine="709"/>
        <w:jc w:val="both"/>
        <w:rPr/>
      </w:pPr>
      <w:r>
        <w:rPr>
          <w:sz w:val="28"/>
        </w:rPr>
        <w:t>Федеральный закон от 28 декабря 2009 г. № 381-ФЗ «Об основах государственного регулирования торговой деятельности в Российской Федерации» (в действующей редакции).</w:t>
      </w:r>
    </w:p>
    <w:p>
      <w:pPr>
        <w:pStyle w:val="Compact"/>
        <w:numPr>
          <w:ilvl w:val="0"/>
          <w:numId w:val="8"/>
        </w:numPr>
        <w:spacing w:lineRule="auto" w:line="360"/>
        <w:ind w:firstLine="709"/>
        <w:jc w:val="both"/>
        <w:rPr/>
      </w:pPr>
      <w:bookmarkStart w:id="48" w:name="нормативные-правовые-акты"/>
      <w:r>
        <w:rPr>
          <w:sz w:val="28"/>
        </w:rPr>
        <w:t>Постановление Правительства Российской Федерации от 22 ноября 1997 г. № 1470 «Методические рекомендации по оценке эффективности инвестиционных проектов».</w:t>
      </w:r>
      <w:bookmarkEnd w:id="48"/>
    </w:p>
    <w:p>
      <w:pPr>
        <w:pStyle w:val="Heading4"/>
        <w:spacing w:lineRule="auto" w:line="360"/>
        <w:ind w:hanging="0"/>
        <w:jc w:val="center"/>
        <w:rPr/>
      </w:pPr>
      <w:bookmarkStart w:id="49" w:name="учебная-и-научная-литература"/>
      <w:r>
        <w:rPr>
          <w:rFonts w:ascii="Times New Roman" w:hAnsi="Times New Roman"/>
          <w:b/>
          <w:color w:val="000000"/>
          <w:sz w:val="28"/>
        </w:rPr>
        <w:t>Учебная и научная литература</w:t>
      </w:r>
    </w:p>
    <w:p>
      <w:pPr>
        <w:pStyle w:val="Compact"/>
        <w:numPr>
          <w:ilvl w:val="0"/>
          <w:numId w:val="43"/>
        </w:numPr>
        <w:spacing w:lineRule="auto" w:line="360"/>
        <w:ind w:firstLine="709"/>
        <w:jc w:val="both"/>
        <w:rPr/>
      </w:pPr>
      <w:r>
        <w:rPr>
          <w:sz w:val="28"/>
        </w:rPr>
        <w:t>Альбеков А. У. Логистика коммерции / А. У. Альбеков, В. П. Федько, О. А. Митько. — Ростов-на-Дону : Феникс, 2023. — 512 с.</w:t>
      </w:r>
    </w:p>
    <w:p>
      <w:pPr>
        <w:pStyle w:val="Compact"/>
        <w:numPr>
          <w:ilvl w:val="0"/>
          <w:numId w:val="9"/>
        </w:numPr>
        <w:spacing w:lineRule="auto" w:line="360"/>
        <w:ind w:firstLine="709"/>
        <w:jc w:val="both"/>
        <w:rPr/>
      </w:pPr>
      <w:r>
        <w:rPr>
          <w:sz w:val="28"/>
        </w:rPr>
        <w:t>Аникин Б. А. Коммерческая логистика : учебник / Б. А. Аникин, А. П. Тяпухин. — Москва : Проспект, 2023. — 432 с.</w:t>
      </w:r>
    </w:p>
    <w:p>
      <w:pPr>
        <w:pStyle w:val="Compact"/>
        <w:numPr>
          <w:ilvl w:val="0"/>
          <w:numId w:val="9"/>
        </w:numPr>
        <w:spacing w:lineRule="auto" w:line="360"/>
        <w:ind w:firstLine="709"/>
        <w:jc w:val="both"/>
        <w:rPr/>
      </w:pPr>
      <w:r>
        <w:rPr>
          <w:sz w:val="28"/>
        </w:rPr>
        <w:t>Баженов Ю. К. Организация коммерческой деятельности малых и средних предприятий : учебное пособие / Ю. К. Баженов, А. Ю. Баженов. — Москва : Дашков и К, 2024. — 332 с.</w:t>
      </w:r>
    </w:p>
    <w:p>
      <w:pPr>
        <w:pStyle w:val="Compact"/>
        <w:numPr>
          <w:ilvl w:val="0"/>
          <w:numId w:val="9"/>
        </w:numPr>
        <w:spacing w:lineRule="auto" w:line="360"/>
        <w:ind w:firstLine="709"/>
        <w:jc w:val="both"/>
        <w:rPr/>
      </w:pPr>
      <w:r>
        <w:rPr>
          <w:sz w:val="28"/>
        </w:rPr>
        <w:t>Виноградова С. Н. Коммерческая деятельность : учебник / С. Н. Виноградова. — Минск : Высшая школа, 2023. — 286 с.</w:t>
      </w:r>
    </w:p>
    <w:p>
      <w:pPr>
        <w:pStyle w:val="Compact"/>
        <w:numPr>
          <w:ilvl w:val="0"/>
          <w:numId w:val="9"/>
        </w:numPr>
        <w:spacing w:lineRule="auto" w:line="360"/>
        <w:ind w:firstLine="709"/>
        <w:jc w:val="both"/>
        <w:rPr/>
      </w:pPr>
      <w:r>
        <w:rPr>
          <w:sz w:val="28"/>
        </w:rPr>
        <w:t>Дашков Л. П. Организация и управление коммерческой деятельностью : учебник / Л. П. Дашков, О. В. Памбухчиянц. — 10-е изд. — Москва : Дашков и К, 2023. — 400 с.</w:t>
      </w:r>
    </w:p>
    <w:p>
      <w:pPr>
        <w:pStyle w:val="Compact"/>
        <w:numPr>
          <w:ilvl w:val="0"/>
          <w:numId w:val="9"/>
        </w:numPr>
        <w:spacing w:lineRule="auto" w:line="360"/>
        <w:ind w:firstLine="709"/>
        <w:jc w:val="both"/>
        <w:rPr/>
      </w:pPr>
      <w:r>
        <w:rPr>
          <w:sz w:val="28"/>
        </w:rPr>
        <w:t>Земляк С. В. Управление коммерческой деятельностью предприятий розничной торговли / С. В. Земляк. — Москва : Финансы и статистика, 2024. — 248 с.</w:t>
      </w:r>
    </w:p>
    <w:p>
      <w:pPr>
        <w:pStyle w:val="Compact"/>
        <w:numPr>
          <w:ilvl w:val="0"/>
          <w:numId w:val="9"/>
        </w:numPr>
        <w:spacing w:lineRule="auto" w:line="360"/>
        <w:ind w:firstLine="709"/>
        <w:jc w:val="both"/>
        <w:rPr/>
      </w:pPr>
      <w:r>
        <w:rPr>
          <w:sz w:val="28"/>
        </w:rPr>
        <w:t>Котлер Ф. Маркетинг менеджмент / Ф. Котлер, К. Л. Келлер. — 15-е изд. — Санкт-Петербург : Питер, 2024. — 848 с.</w:t>
      </w:r>
    </w:p>
    <w:p>
      <w:pPr>
        <w:pStyle w:val="Compact"/>
        <w:numPr>
          <w:ilvl w:val="0"/>
          <w:numId w:val="9"/>
        </w:numPr>
        <w:spacing w:lineRule="auto" w:line="360"/>
        <w:ind w:firstLine="709"/>
        <w:jc w:val="both"/>
        <w:rPr/>
      </w:pPr>
      <w:r>
        <w:rPr>
          <w:sz w:val="28"/>
        </w:rPr>
        <w:t>Левкин Г. Г. Коммерческая логистика : учебное пособие / Г. Г. Левкин. — Москва : Юрайт, 2023. — 376 с.</w:t>
      </w:r>
    </w:p>
    <w:p>
      <w:pPr>
        <w:pStyle w:val="Compact"/>
        <w:numPr>
          <w:ilvl w:val="0"/>
          <w:numId w:val="9"/>
        </w:numPr>
        <w:spacing w:lineRule="auto" w:line="360"/>
        <w:ind w:firstLine="709"/>
        <w:jc w:val="both"/>
        <w:rPr/>
      </w:pPr>
      <w:r>
        <w:rPr>
          <w:sz w:val="28"/>
        </w:rPr>
        <w:t>Никишкин В. В. Маркетинг розничной торговли. Теория и методология / В. В. Никишкин. — Москва : Экономика, 2024. — 210 с.</w:t>
      </w:r>
    </w:p>
    <w:p>
      <w:pPr>
        <w:pStyle w:val="Compact"/>
        <w:numPr>
          <w:ilvl w:val="0"/>
          <w:numId w:val="9"/>
        </w:numPr>
        <w:spacing w:lineRule="auto" w:line="360"/>
        <w:ind w:firstLine="709"/>
        <w:jc w:val="both"/>
        <w:rPr/>
      </w:pPr>
      <w:r>
        <w:rPr>
          <w:sz w:val="28"/>
        </w:rPr>
        <w:t>Новиков О. А. Коммерческая деятельность производственных предприятий / О. А. Новиков. — Санкт-Петербург : СПбГУЭФ, 2023. — 416 с.</w:t>
      </w:r>
    </w:p>
    <w:p>
      <w:pPr>
        <w:pStyle w:val="Compact"/>
        <w:numPr>
          <w:ilvl w:val="0"/>
          <w:numId w:val="9"/>
        </w:numPr>
        <w:spacing w:lineRule="auto" w:line="360"/>
        <w:ind w:firstLine="709"/>
        <w:jc w:val="both"/>
        <w:rPr/>
      </w:pPr>
      <w:r>
        <w:rPr>
          <w:sz w:val="28"/>
        </w:rPr>
        <w:t>Осипова Л. В. Основы коммерческой деятельности : учебник / Л. В. Осипова, И. М. Синяева. — Москва : ЮНИТИ-ДАНА, 2024. — 623 с.</w:t>
      </w:r>
    </w:p>
    <w:p>
      <w:pPr>
        <w:pStyle w:val="Compact"/>
        <w:numPr>
          <w:ilvl w:val="0"/>
          <w:numId w:val="9"/>
        </w:numPr>
        <w:spacing w:lineRule="auto" w:line="360"/>
        <w:ind w:firstLine="709"/>
        <w:jc w:val="both"/>
        <w:rPr/>
      </w:pPr>
      <w:r>
        <w:rPr>
          <w:sz w:val="28"/>
        </w:rPr>
        <w:t>Памбухчиянц В. К. Организация коммерческой деятельности : учебное пособие / В. К. Памбухчиянц. — Москва : Дашков и К, 2023. — 374 с.</w:t>
      </w:r>
    </w:p>
    <w:p>
      <w:pPr>
        <w:pStyle w:val="Compact"/>
        <w:numPr>
          <w:ilvl w:val="0"/>
          <w:numId w:val="9"/>
        </w:numPr>
        <w:spacing w:lineRule="auto" w:line="360"/>
        <w:ind w:firstLine="709"/>
        <w:jc w:val="both"/>
        <w:rPr/>
      </w:pPr>
      <w:r>
        <w:rPr>
          <w:sz w:val="28"/>
        </w:rPr>
        <w:t>Панкратов Ф. Г. Коммерческая деятельность : учебник / Ф. Г. Панкратов, Н. Ф. Солдатова. — 13-е изд. — Москва : Дашков и К, 2024. — 500 с.</w:t>
      </w:r>
    </w:p>
    <w:p>
      <w:pPr>
        <w:pStyle w:val="Compact"/>
        <w:numPr>
          <w:ilvl w:val="0"/>
          <w:numId w:val="9"/>
        </w:numPr>
        <w:spacing w:lineRule="auto" w:line="360"/>
        <w:ind w:firstLine="709"/>
        <w:jc w:val="both"/>
        <w:rPr/>
      </w:pPr>
      <w:r>
        <w:rPr>
          <w:sz w:val="28"/>
        </w:rPr>
        <w:t>Парамонова Т. Н. Маркетинг торгового предприятия : учебник / Т. Н. Парамонова. — Москва : Дашков и К, 2023. — 284 с.</w:t>
      </w:r>
    </w:p>
    <w:p>
      <w:pPr>
        <w:pStyle w:val="Compact"/>
        <w:numPr>
          <w:ilvl w:val="0"/>
          <w:numId w:val="9"/>
        </w:numPr>
        <w:spacing w:lineRule="auto" w:line="360"/>
        <w:ind w:firstLine="709"/>
        <w:jc w:val="both"/>
        <w:rPr/>
      </w:pPr>
      <w:r>
        <w:rPr>
          <w:sz w:val="28"/>
        </w:rPr>
        <w:t>Половцева Ф. П. Коммерческая деятельность : учебник / Ф. П. Половцева. — Москва : ИНФРА-М, 2024. — 224 с.</w:t>
      </w:r>
    </w:p>
    <w:p>
      <w:pPr>
        <w:pStyle w:val="Compact"/>
        <w:numPr>
          <w:ilvl w:val="0"/>
          <w:numId w:val="9"/>
        </w:numPr>
        <w:spacing w:lineRule="auto" w:line="360"/>
        <w:ind w:firstLine="709"/>
        <w:jc w:val="both"/>
        <w:rPr/>
      </w:pPr>
      <w:r>
        <w:rPr>
          <w:sz w:val="28"/>
        </w:rPr>
        <w:t>Портер М. Конкурентная стратегия. Методика анализа отраслей и конкурентов / М. Портер. — Москва : Альпина Паблишер, 2024. — 456 с.</w:t>
      </w:r>
    </w:p>
    <w:p>
      <w:pPr>
        <w:pStyle w:val="Compact"/>
        <w:numPr>
          <w:ilvl w:val="0"/>
          <w:numId w:val="9"/>
        </w:numPr>
        <w:spacing w:lineRule="auto" w:line="360"/>
        <w:ind w:firstLine="709"/>
        <w:jc w:val="both"/>
        <w:rPr/>
      </w:pPr>
      <w:r>
        <w:rPr>
          <w:sz w:val="28"/>
        </w:rPr>
        <w:t>Синяева И. М. Маркетинг коммерческих организаций / И. М. Синяева, В. М. Маслова, В. В. Синяев. — Москва : Дашков и К, 2024. — 296 с.</w:t>
      </w:r>
    </w:p>
    <w:p>
      <w:pPr>
        <w:pStyle w:val="Compact"/>
        <w:numPr>
          <w:ilvl w:val="0"/>
          <w:numId w:val="9"/>
        </w:numPr>
        <w:spacing w:lineRule="auto" w:line="360"/>
        <w:ind w:firstLine="709"/>
        <w:jc w:val="both"/>
        <w:rPr/>
      </w:pPr>
      <w:r>
        <w:rPr>
          <w:sz w:val="28"/>
        </w:rPr>
        <w:t>Хохлов Н. В. Управление розничной сетью : учебное пособие / Н. В. Хохлов. — Москва : Юрайт, 2023. — 264 с.</w:t>
      </w:r>
    </w:p>
    <w:p>
      <w:pPr>
        <w:pStyle w:val="Compact"/>
        <w:numPr>
          <w:ilvl w:val="0"/>
          <w:numId w:val="9"/>
        </w:numPr>
        <w:spacing w:lineRule="auto" w:line="360"/>
        <w:ind w:firstLine="709"/>
        <w:jc w:val="both"/>
        <w:rPr/>
      </w:pPr>
      <w:bookmarkStart w:id="50" w:name="учебная-и-научная-литература"/>
      <w:r>
        <w:rPr>
          <w:sz w:val="28"/>
        </w:rPr>
        <w:t>Шеремет А. Д. Методика финансового анализа деятельности коммерческих организаций / А. Д. Шеремет, Е. В. Негашев. — 2-е изд. — Москва : ИНФРА-М, 2023. — 208 с.</w:t>
      </w:r>
      <w:bookmarkEnd w:id="50"/>
    </w:p>
    <w:p>
      <w:pPr>
        <w:pStyle w:val="Heading4"/>
        <w:spacing w:lineRule="auto" w:line="360"/>
        <w:ind w:hanging="0"/>
        <w:jc w:val="center"/>
        <w:rPr/>
      </w:pPr>
      <w:bookmarkStart w:id="51" w:name="статьи-в-периодических-изданиях"/>
      <w:r>
        <w:rPr>
          <w:rFonts w:ascii="Times New Roman" w:hAnsi="Times New Roman"/>
          <w:b/>
          <w:color w:val="000000"/>
          <w:sz w:val="28"/>
        </w:rPr>
        <w:t>Статьи в периодических изданиях</w:t>
      </w:r>
    </w:p>
    <w:p>
      <w:pPr>
        <w:pStyle w:val="Compact"/>
        <w:numPr>
          <w:ilvl w:val="0"/>
          <w:numId w:val="44"/>
        </w:numPr>
        <w:spacing w:lineRule="auto" w:line="360"/>
        <w:ind w:firstLine="709"/>
        <w:jc w:val="both"/>
        <w:rPr/>
      </w:pPr>
      <w:r>
        <w:rPr>
          <w:sz w:val="28"/>
        </w:rPr>
        <w:t>Андреев С. Ю. Развитие фирменной розничной торговли промышленных предприятий в условиях санкций / С. Ю. Андреев // Российское предпринимательство. — 2024. — № 7. — С. 18–26.</w:t>
      </w:r>
    </w:p>
    <w:p>
      <w:pPr>
        <w:pStyle w:val="Compact"/>
        <w:numPr>
          <w:ilvl w:val="0"/>
          <w:numId w:val="10"/>
        </w:numPr>
        <w:spacing w:lineRule="auto" w:line="360"/>
        <w:ind w:firstLine="709"/>
        <w:jc w:val="both"/>
        <w:rPr/>
      </w:pPr>
      <w:r>
        <w:rPr>
          <w:sz w:val="28"/>
        </w:rPr>
        <w:t>Белова Е. В. Организация коммерческой деятельности в сегменте продукции здорового питания / Е. В. Белова // Маркетинг в России и за рубежом. — 2024. — № 5. — С. 145–158.</w:t>
      </w:r>
    </w:p>
    <w:p>
      <w:pPr>
        <w:pStyle w:val="Compact"/>
        <w:numPr>
          <w:ilvl w:val="0"/>
          <w:numId w:val="10"/>
        </w:numPr>
        <w:spacing w:lineRule="auto" w:line="360"/>
        <w:ind w:firstLine="709"/>
        <w:jc w:val="both"/>
        <w:rPr/>
      </w:pPr>
      <w:r>
        <w:rPr>
          <w:sz w:val="28"/>
        </w:rPr>
        <w:t>Воронов А. А. Стратегии диверсификации деятельности малых предприятий / А. А. Воронов // Экономика и управление. — 2025. — № 2. — С. 64–73.</w:t>
      </w:r>
    </w:p>
    <w:p>
      <w:pPr>
        <w:pStyle w:val="Compact"/>
        <w:numPr>
          <w:ilvl w:val="0"/>
          <w:numId w:val="10"/>
        </w:numPr>
        <w:spacing w:lineRule="auto" w:line="360"/>
        <w:ind w:firstLine="709"/>
        <w:jc w:val="both"/>
        <w:rPr/>
      </w:pPr>
      <w:r>
        <w:rPr>
          <w:sz w:val="28"/>
        </w:rPr>
        <w:t>Гаврилов Д. Н. Развитие сегмента функциональных напитков в Российской Федерации / Д. Н. Гаврилов // Пищевая промышленность. — 2024. — № 9. — С. 32–41.</w:t>
      </w:r>
    </w:p>
    <w:p>
      <w:pPr>
        <w:pStyle w:val="Compact"/>
        <w:numPr>
          <w:ilvl w:val="0"/>
          <w:numId w:val="10"/>
        </w:numPr>
        <w:spacing w:lineRule="auto" w:line="360"/>
        <w:ind w:firstLine="709"/>
        <w:jc w:val="both"/>
        <w:rPr/>
      </w:pPr>
      <w:r>
        <w:rPr>
          <w:sz w:val="28"/>
        </w:rPr>
        <w:t>Дроздов И. М. Организация фирменной розничной сети малых производителей / И. М. Дроздов // Российская торговля. — 2023. — № 11. — С. 24–32.</w:t>
      </w:r>
    </w:p>
    <w:p>
      <w:pPr>
        <w:pStyle w:val="Compact"/>
        <w:numPr>
          <w:ilvl w:val="0"/>
          <w:numId w:val="10"/>
        </w:numPr>
        <w:spacing w:lineRule="auto" w:line="360"/>
        <w:ind w:firstLine="709"/>
        <w:jc w:val="both"/>
        <w:rPr/>
      </w:pPr>
      <w:r>
        <w:rPr>
          <w:sz w:val="28"/>
        </w:rPr>
        <w:t>Ершов В. С. Тенденции развития розничной торговли продуктами здорового питания / В. С. Ершов // Российский журнал менеджмента. — 2025. — № 1. — С. 41–58.</w:t>
      </w:r>
    </w:p>
    <w:p>
      <w:pPr>
        <w:pStyle w:val="Compact"/>
        <w:numPr>
          <w:ilvl w:val="0"/>
          <w:numId w:val="10"/>
        </w:numPr>
        <w:spacing w:lineRule="auto" w:line="360"/>
        <w:ind w:firstLine="709"/>
        <w:jc w:val="both"/>
        <w:rPr/>
      </w:pPr>
      <w:r>
        <w:rPr>
          <w:sz w:val="28"/>
        </w:rPr>
        <w:t>Жуков А. П. Анализ рисков инвестиционных проектов в сфере розничной торговли / А. П. Жуков // Управление риском. — 2024. — № 3. — С. 12–19.</w:t>
      </w:r>
    </w:p>
    <w:p>
      <w:pPr>
        <w:pStyle w:val="Compact"/>
        <w:numPr>
          <w:ilvl w:val="0"/>
          <w:numId w:val="10"/>
        </w:numPr>
        <w:spacing w:lineRule="auto" w:line="360"/>
        <w:ind w:firstLine="709"/>
        <w:jc w:val="both"/>
        <w:rPr/>
      </w:pPr>
      <w:r>
        <w:rPr>
          <w:sz w:val="28"/>
        </w:rPr>
        <w:t>Зайцева Н. К. Оценка эффективности инвестиций в фирменную розничную сеть / Н. К. Зайцева // Экономический анализ: теория и практика. — 2024. — № 8. — С. 78–87.</w:t>
      </w:r>
    </w:p>
    <w:p>
      <w:pPr>
        <w:pStyle w:val="Compact"/>
        <w:numPr>
          <w:ilvl w:val="0"/>
          <w:numId w:val="10"/>
        </w:numPr>
        <w:spacing w:lineRule="auto" w:line="360"/>
        <w:ind w:firstLine="709"/>
        <w:jc w:val="both"/>
        <w:rPr/>
      </w:pPr>
      <w:bookmarkStart w:id="52" w:name="статьи-в-периодических-изданиях"/>
      <w:r>
        <w:rPr>
          <w:sz w:val="28"/>
        </w:rPr>
        <w:t>Иванова О. Б. Государственная поддержка малых производителей продовольственной продукции / О. Б. Иванова // Финансовый менеджмент. — 2025. — № 4. — С. 110–119.</w:t>
      </w:r>
      <w:bookmarkEnd w:id="52"/>
    </w:p>
    <w:p>
      <w:pPr>
        <w:pStyle w:val="Heading4"/>
        <w:spacing w:lineRule="auto" w:line="360"/>
        <w:ind w:hanging="0"/>
        <w:jc w:val="center"/>
        <w:rPr/>
      </w:pPr>
      <w:bookmarkStart w:id="53" w:name="электронные-ресурсы"/>
      <w:r>
        <w:rPr>
          <w:rFonts w:ascii="Times New Roman" w:hAnsi="Times New Roman"/>
          <w:b/>
          <w:color w:val="000000"/>
          <w:sz w:val="28"/>
        </w:rPr>
        <w:t>Электронные ресурсы</w:t>
      </w:r>
    </w:p>
    <w:p>
      <w:pPr>
        <w:pStyle w:val="Compact"/>
        <w:numPr>
          <w:ilvl w:val="0"/>
          <w:numId w:val="45"/>
        </w:numPr>
        <w:spacing w:lineRule="auto" w:line="360"/>
        <w:ind w:firstLine="709"/>
        <w:jc w:val="both"/>
        <w:rPr/>
      </w:pPr>
      <w:r>
        <w:rPr>
          <w:sz w:val="28"/>
        </w:rPr>
        <w:t xml:space="preserve">Официальный сайт Федеральной службы государственной статистики. — URL : </w:t>
      </w:r>
      <w:hyperlink r:id="rId2">
        <w:r>
          <w:rPr>
            <w:rStyle w:val="Hyperlink"/>
          </w:rPr>
          <w:t>https://rosstat.gov.ru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Официальный сайт Банка России. — URL : </w:t>
      </w:r>
      <w:hyperlink r:id="rId3">
        <w:r>
          <w:rPr>
            <w:rStyle w:val="Hyperlink"/>
          </w:rPr>
          <w:t>https://www.cbr.ru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Официальный сайт Министерства промышленности и торговли Российской Федерации. — URL : </w:t>
      </w:r>
      <w:hyperlink r:id="rId4">
        <w:r>
          <w:rPr>
            <w:rStyle w:val="Hyperlink"/>
          </w:rPr>
          <w:t>https://minpromtorg.gov.ru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Официальный сайт Министерства инвестиций, промышленности и науки Московской области. — URL : </w:t>
      </w:r>
      <w:hyperlink r:id="rId5">
        <w:r>
          <w:rPr>
            <w:rStyle w:val="Hyperlink"/>
          </w:rPr>
          <w:t>https://mii.mosreg.ru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Единый государственный реестр юридических лиц : открытые сведения. — URL : </w:t>
      </w:r>
      <w:hyperlink r:id="rId6">
        <w:r>
          <w:rPr>
            <w:rStyle w:val="Hyperlink"/>
          </w:rPr>
          <w:t>https://egrul.nalog.ru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Единый реестр субъектов малого и среднего предпринимательства. — URL : </w:t>
      </w:r>
      <w:hyperlink r:id="rId7">
        <w:r>
          <w:rPr>
            <w:rStyle w:val="Hyperlink"/>
          </w:rPr>
          <w:t>https://rmsp.nalog.ru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Информационно-аналитический ресурс «Руспрофиль». — URL : </w:t>
      </w:r>
      <w:hyperlink r:id="rId8">
        <w:r>
          <w:rPr>
            <w:rStyle w:val="Hyperlink"/>
          </w:rPr>
          <w:t>https://www.rusprofile.ru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Аналитический портал «Saby». — URL : </w:t>
      </w:r>
      <w:hyperlink r:id="rId9">
        <w:r>
          <w:rPr>
            <w:rStyle w:val="Hyperlink"/>
          </w:rPr>
          <w:t>https://saby.ru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Отраслевой обзор «Российский рынок функциональных напитков : тенденции и прогнозы 2025–2027». — URL : </w:t>
      </w:r>
      <w:hyperlink r:id="rId10">
        <w:r>
          <w:rPr>
            <w:rStyle w:val="Hyperlink"/>
          </w:rPr>
          <w:t>https://www.tadviser.ru</w:t>
        </w:r>
      </w:hyperlink>
      <w:r>
        <w:rPr>
          <w:sz w:val="28"/>
        </w:rPr>
        <w:t xml:space="preserve"> (дата обращения : 25.05.2026).</w:t>
      </w:r>
    </w:p>
    <w:p>
      <w:pPr>
        <w:pStyle w:val="Compact"/>
        <w:numPr>
          <w:ilvl w:val="0"/>
          <w:numId w:val="11"/>
        </w:numPr>
        <w:spacing w:lineRule="auto" w:line="360"/>
        <w:ind w:firstLine="709"/>
        <w:jc w:val="both"/>
        <w:rPr/>
      </w:pPr>
      <w:r>
        <w:rPr>
          <w:sz w:val="28"/>
        </w:rPr>
        <w:t xml:space="preserve">Отраслевой обзор «Розничная торговля продуктами здорового питания : итоги 2025 года». — URL : </w:t>
      </w:r>
      <w:hyperlink r:id="rId11">
        <w:r>
          <w:rPr>
            <w:rStyle w:val="Hyperlink"/>
          </w:rPr>
          <w:t>https://www.akort.ru</w:t>
        </w:r>
      </w:hyperlink>
      <w:r>
        <w:rPr>
          <w:sz w:val="28"/>
        </w:rPr>
        <w:t xml:space="preserve"> (дата обращения : 25.05.2026).</w:t>
      </w:r>
      <w:bookmarkEnd w:id="53"/>
    </w:p>
    <w:p>
      <w:pPr>
        <w:pStyle w:val="Heading4"/>
        <w:spacing w:lineRule="auto" w:line="360"/>
        <w:ind w:hanging="0"/>
        <w:jc w:val="center"/>
        <w:rPr/>
      </w:pPr>
      <w:bookmarkStart w:id="54" w:name="государственные-стандарты"/>
      <w:r>
        <w:rPr>
          <w:rFonts w:ascii="Times New Roman" w:hAnsi="Times New Roman"/>
          <w:b/>
          <w:color w:val="000000"/>
          <w:sz w:val="28"/>
        </w:rPr>
        <w:t>Государственные стандарты</w:t>
      </w:r>
    </w:p>
    <w:p>
      <w:pPr>
        <w:pStyle w:val="Compact"/>
        <w:numPr>
          <w:ilvl w:val="0"/>
          <w:numId w:val="46"/>
        </w:numPr>
        <w:spacing w:lineRule="auto" w:line="360"/>
        <w:ind w:firstLine="709"/>
        <w:jc w:val="both"/>
        <w:rPr/>
      </w:pPr>
      <w:r>
        <w:rPr>
          <w:sz w:val="28"/>
        </w:rPr>
        <w:t>ГОСТ Р 7.0.100–2018. Библиографическая запись. Библиографическое описание. Общие требования и правила составления.</w:t>
      </w:r>
    </w:p>
    <w:p>
      <w:pPr>
        <w:pStyle w:val="Compact"/>
        <w:numPr>
          <w:ilvl w:val="0"/>
          <w:numId w:val="12"/>
        </w:numPr>
        <w:spacing w:lineRule="auto" w:line="360"/>
        <w:ind w:firstLine="709"/>
        <w:jc w:val="both"/>
        <w:rPr/>
      </w:pPr>
      <w:r>
        <w:rPr>
          <w:sz w:val="28"/>
        </w:rPr>
        <w:t>ГОСТ 7.32–2017. Отчёт о научно-исследовательской работе. Структура и правила оформления.</w:t>
      </w:r>
    </w:p>
    <w:p>
      <w:pPr>
        <w:pStyle w:val="Compact"/>
        <w:numPr>
          <w:ilvl w:val="0"/>
          <w:numId w:val="12"/>
        </w:numPr>
        <w:spacing w:lineRule="auto" w:line="360"/>
        <w:ind w:firstLine="709"/>
        <w:jc w:val="both"/>
        <w:rPr/>
      </w:pPr>
      <w:bookmarkStart w:id="55" w:name="государственные-стандарты"/>
      <w:r>
        <w:rPr>
          <w:sz w:val="28"/>
        </w:rPr>
        <w:t>ГОСТ Р 51074–2003. Продукты пищевые. Информация для потребителя. Общие требования.</w:t>
      </w:r>
      <w:bookmarkEnd w:id="55"/>
    </w:p>
    <w:p>
      <w:pPr>
        <w:pStyle w:val="Heading4"/>
        <w:spacing w:lineRule="auto" w:line="360"/>
        <w:ind w:hanging="0"/>
        <w:jc w:val="center"/>
        <w:rPr/>
      </w:pPr>
      <w:bookmarkStart w:id="56" w:name="иные-источники"/>
      <w:r>
        <w:rPr>
          <w:rFonts w:ascii="Times New Roman" w:hAnsi="Times New Roman"/>
          <w:b/>
          <w:color w:val="000000"/>
          <w:sz w:val="28"/>
        </w:rPr>
        <w:t>Иные источники</w:t>
      </w:r>
    </w:p>
    <w:p>
      <w:pPr>
        <w:pStyle w:val="Compact"/>
        <w:numPr>
          <w:ilvl w:val="0"/>
          <w:numId w:val="47"/>
        </w:numPr>
        <w:spacing w:lineRule="auto" w:line="360"/>
        <w:ind w:firstLine="709"/>
        <w:jc w:val="both"/>
        <w:rPr/>
      </w:pPr>
      <w:r>
        <w:rPr>
          <w:sz w:val="28"/>
        </w:rPr>
        <w:t>Бухгалтерская (финансовая) отчётность АО «ВИТА ЛАЙФ» за 2023 год. — Видное : АО «ВИТА ЛАЙФ», 2024.</w:t>
      </w:r>
    </w:p>
    <w:p>
      <w:pPr>
        <w:pStyle w:val="Compact"/>
        <w:numPr>
          <w:ilvl w:val="0"/>
          <w:numId w:val="13"/>
        </w:numPr>
        <w:spacing w:lineRule="auto" w:line="360"/>
        <w:ind w:firstLine="709"/>
        <w:jc w:val="both"/>
        <w:rPr/>
      </w:pPr>
      <w:bookmarkStart w:id="57" w:name="список-использованных-источников"/>
      <w:bookmarkStart w:id="58" w:name="иные-источники"/>
      <w:r>
        <w:rPr>
          <w:sz w:val="28"/>
        </w:rPr>
        <w:t>Бухгалтерская (финансовая) отчётность АО «ВИТА ЛАЙФ» за 2024 год. — Видное : АО «ВИТА ЛАЙФ», 2025.</w:t>
      </w:r>
      <w:bookmarkEnd w:id="57"/>
      <w:bookmarkEnd w:id="58"/>
    </w:p>
    <w:p>
      <w:pPr>
        <w:pStyle w:val="Heading2"/>
        <w:spacing w:lineRule="auto" w:line="360"/>
        <w:ind w:hanging="0"/>
        <w:jc w:val="center"/>
        <w:rPr/>
      </w:pPr>
      <w:bookmarkStart w:id="59" w:name="__RefHeading___Toc8745_1604219493"/>
      <w:bookmarkStart w:id="60" w:name="приложения"/>
      <w:bookmarkEnd w:id="59"/>
      <w:r>
        <w:rPr>
          <w:rFonts w:ascii="Times New Roman" w:hAnsi="Times New Roman"/>
          <w:b/>
          <w:color w:val="000000"/>
          <w:sz w:val="28"/>
        </w:rPr>
        <w:t>ПРИЛОЖЕНИЯ</w:t>
      </w:r>
    </w:p>
    <w:p>
      <w:pPr>
        <w:pStyle w:val="Heading4"/>
        <w:spacing w:lineRule="auto" w:line="360"/>
        <w:ind w:hanging="0"/>
        <w:jc w:val="center"/>
        <w:rPr/>
      </w:pPr>
      <w:bookmarkStart w:id="61" w:name="приложение-а"/>
      <w:r>
        <w:rPr>
          <w:rFonts w:ascii="Times New Roman" w:hAnsi="Times New Roman"/>
          <w:b/>
          <w:color w:val="000000"/>
          <w:sz w:val="28"/>
        </w:rPr>
        <w:t>ПРИЛОЖЕНИЕ А</w:t>
      </w:r>
    </w:p>
    <w:p>
      <w:pPr>
        <w:pStyle w:val="FirstParagraph"/>
        <w:spacing w:lineRule="auto" w:line="360"/>
        <w:ind w:firstLine="709"/>
        <w:jc w:val="both"/>
        <w:rPr/>
      </w:pPr>
      <w:r>
        <w:rPr>
          <w:sz w:val="28"/>
        </w:rPr>
        <w:t>Бухгалтерский баланс АО «ВИТА ЛАЙФ» на 31 декабря 2025 года (агрегированный, тыс. руб)</w:t>
      </w:r>
    </w:p>
    <w:p>
      <w:pPr>
        <w:pStyle w:val="BodyText"/>
        <w:spacing w:lineRule="auto" w:line="360"/>
        <w:ind w:firstLine="709"/>
        <w:jc w:val="both"/>
        <w:rPr/>
      </w:pPr>
      <w:r>
        <w:rPr>
          <w:sz w:val="28"/>
        </w:rPr>
        <w:t>Таблица А.1 – Агрегированный бухгалтерский баланс</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Код</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Наименование показателя</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 31.12.2025</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 31.12.2024</w:t>
            </w:r>
          </w:p>
        </w:tc>
        <w:tc>
          <w:tcPr>
            <w:tcW w:w="1584"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 31.12.2023</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Нематериальные активы</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Основные средства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11 050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11 350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11 580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1170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Финансовые вложения</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Отложенные налоговые активы</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195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168</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1190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внеоборотные активы</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540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510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по разделу I</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11 850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12 085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12 258</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Запасы</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1230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Дебиторская задолженность</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2 470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1 985</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1240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Финансовые вложения (краткосрочные)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Денежные средства и эквиваленты</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1 410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1 285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1 095</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1260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оборотные активы</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122</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по разделу II</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4 740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4 180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3 442</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БАЛАНС (АКТИВ)</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16 590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16 265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15 700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Уставный капитал</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1370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Нераспределённая прибыль (убыток)</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6 360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6 360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6 132</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по разделу III</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6 370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6 370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6 142</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Заёмные средства (долгосрочные)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3 800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3 950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4 020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1420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Отложенные налоговые обязательства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по разделу IV</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3 940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4 075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4 130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1510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Заёмные средства (краткосрочные)</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2 920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2 685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2 540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1520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Кредиторская задолженность</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2 980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2 580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1540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Оценочные обязательства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200</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1550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обязательства</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108</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Итого по разделу V</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6 280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5 820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5 428</w:t>
            </w:r>
          </w:p>
        </w:tc>
      </w:tr>
      <w:tr>
        <w:trPr/>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1700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БАЛАНС (ПАССИВ)</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16 590</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16 265</w:t>
            </w:r>
          </w:p>
        </w:tc>
        <w:tc>
          <w:tcPr>
            <w:tcW w:w="1584"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15 700</w:t>
            </w:r>
          </w:p>
        </w:tc>
      </w:tr>
    </w:tbl>
    <w:p>
      <w:pPr>
        <w:pStyle w:val="BodyText"/>
        <w:spacing w:lineRule="auto" w:line="360"/>
        <w:ind w:firstLine="709"/>
        <w:jc w:val="both"/>
        <w:rPr/>
      </w:pPr>
      <w:bookmarkStart w:id="62" w:name="приложение-а"/>
      <w:r>
        <w:rPr>
          <w:sz w:val="28"/>
        </w:rPr>
        <w:t>Примечание: значения округлены, реконструированы на основании агрегированных открытых данных аналитических сервисов и применены исключительно в учебных целях настоящей выпускной квалификационной работы.</w:t>
      </w:r>
      <w:bookmarkEnd w:id="62"/>
    </w:p>
    <w:p>
      <w:pPr>
        <w:pStyle w:val="Heading4"/>
        <w:spacing w:lineRule="auto" w:line="360"/>
        <w:ind w:hanging="0"/>
        <w:jc w:val="center"/>
        <w:rPr/>
      </w:pPr>
      <w:bookmarkStart w:id="63" w:name="приложение-б"/>
      <w:r>
        <w:rPr>
          <w:rFonts w:ascii="Times New Roman" w:hAnsi="Times New Roman"/>
          <w:b/>
          <w:color w:val="000000"/>
          <w:sz w:val="28"/>
        </w:rPr>
        <w:t>ПРИЛОЖЕНИЕ Б</w:t>
      </w:r>
    </w:p>
    <w:p>
      <w:pPr>
        <w:pStyle w:val="FirstParagraph"/>
        <w:spacing w:lineRule="auto" w:line="360"/>
        <w:ind w:firstLine="709"/>
        <w:jc w:val="both"/>
        <w:rPr/>
      </w:pPr>
      <w:r>
        <w:rPr>
          <w:sz w:val="28"/>
        </w:rPr>
        <w:t>Отчёт о финансовых результатах АО «ВИТА ЛАЙФ» за 2025 год (агрегированный, тыс. руб)</w:t>
      </w:r>
    </w:p>
    <w:p>
      <w:pPr>
        <w:pStyle w:val="BodyText"/>
        <w:spacing w:lineRule="auto" w:line="360"/>
        <w:ind w:firstLine="709"/>
        <w:jc w:val="both"/>
        <w:rPr/>
      </w:pPr>
      <w:r>
        <w:rPr>
          <w:sz w:val="28"/>
        </w:rPr>
        <w:t>Таблица Б.1 – Агрегированный отчёт о финансовых результатах</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Код</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Наименование показателя</w:t>
            </w:r>
          </w:p>
        </w:tc>
        <w:tc>
          <w:tcPr>
            <w:tcW w:w="132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 2025 г</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 2024 г</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 2023 г</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За 2022 г</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2110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13 700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27 400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23 200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2120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Себестоимость продаж</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14 100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22 350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17 850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18 600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Валовая прибыль (убыток)</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5 050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2 350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4 600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2210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Коммерческие расходы</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2 850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3 250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2 580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2 380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2220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Управленческие расходы</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1 250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1 600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1 270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920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Прибыль (убыток) от продаж</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1 300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2330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Проценты к уплате</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380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360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340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320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2340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доходы</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580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480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540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2350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Прочие расходы</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2300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Прибыль (убыток) до налогообложения</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-5 000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-1 560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1 300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2410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Налог на прибыль</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-28</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2400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Чистая прибыль (убыток)</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228</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1 300</w:t>
            </w:r>
          </w:p>
        </w:tc>
      </w:tr>
    </w:tbl>
    <w:p>
      <w:pPr>
        <w:pStyle w:val="BodyText"/>
        <w:spacing w:lineRule="auto" w:line="360"/>
        <w:ind w:firstLine="709"/>
        <w:jc w:val="both"/>
        <w:rPr/>
      </w:pPr>
      <w:bookmarkStart w:id="64" w:name="приложение-б"/>
      <w:r>
        <w:rPr>
          <w:sz w:val="28"/>
        </w:rPr>
        <w:t>Примечание: значения округлены, реконструированы на основании агрегированных открытых данных аналитических сервисов и применены исключительно в учебных целях настоящей выпускной квалификационной работы.</w:t>
      </w:r>
      <w:bookmarkEnd w:id="64"/>
    </w:p>
    <w:p>
      <w:pPr>
        <w:pStyle w:val="Heading4"/>
        <w:spacing w:lineRule="auto" w:line="360"/>
        <w:ind w:hanging="0"/>
        <w:jc w:val="center"/>
        <w:rPr/>
      </w:pPr>
      <w:bookmarkStart w:id="65" w:name="приложение-в"/>
      <w:r>
        <w:rPr>
          <w:rFonts w:ascii="Times New Roman" w:hAnsi="Times New Roman"/>
          <w:b/>
          <w:color w:val="000000"/>
          <w:sz w:val="28"/>
        </w:rPr>
        <w:t>ПРИЛОЖЕНИЕ В</w:t>
      </w:r>
    </w:p>
    <w:p>
      <w:pPr>
        <w:pStyle w:val="FirstParagraph"/>
        <w:spacing w:lineRule="auto" w:line="360"/>
        <w:ind w:firstLine="709"/>
        <w:jc w:val="both"/>
        <w:rPr/>
      </w:pPr>
      <w:r>
        <w:rPr>
          <w:sz w:val="28"/>
        </w:rPr>
        <w:t>Детализированный финансовый план проекта по кварталам (фрагмент)</w:t>
      </w:r>
    </w:p>
    <w:p>
      <w:pPr>
        <w:pStyle w:val="BodyText"/>
        <w:spacing w:lineRule="auto" w:line="360"/>
        <w:ind w:firstLine="709"/>
        <w:jc w:val="both"/>
        <w:rPr/>
      </w:pPr>
      <w:r>
        <w:rPr>
          <w:sz w:val="28"/>
        </w:rPr>
        <w:t>Таблица В.1 – Прогноз денежного потока проекта по кварталам, тыс. руб</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Период</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Поступления</w:t>
            </w:r>
          </w:p>
        </w:tc>
        <w:tc>
          <w:tcPr>
            <w:tcW w:w="1321"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Производственные затраты</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Коммерческие и управленческие затраты</w:t>
            </w:r>
          </w:p>
        </w:tc>
        <w:tc>
          <w:tcPr>
            <w:tcW w:w="131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Налоги</w:t>
            </w:r>
          </w:p>
        </w:tc>
        <w:tc>
          <w:tcPr>
            <w:tcW w:w="132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Чистый денежный поток</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 кв 2026</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7 500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3 250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6 800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-2 550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II кв 2026</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11 200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4 750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6 950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III кв 2026</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14 800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6 100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7 050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1 580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IV кв 2026</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19 000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7 100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7 400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210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4 290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 кв 2027</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25 100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10 200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12 200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1 900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II кв 2027</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30 800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12 500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12 700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1 050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4 550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III кв 2027</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33 700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13 800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13 100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1 200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5 600</w:t>
            </w:r>
          </w:p>
        </w:tc>
      </w:tr>
      <w:tr>
        <w:trPr/>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IV кв 2027</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37 800</w:t>
            </w:r>
          </w:p>
        </w:tc>
        <w:tc>
          <w:tcPr>
            <w:tcW w:w="1321"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14 700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13 500</w:t>
            </w:r>
          </w:p>
        </w:tc>
        <w:tc>
          <w:tcPr>
            <w:tcW w:w="131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1 510</w:t>
            </w:r>
          </w:p>
        </w:tc>
        <w:tc>
          <w:tcPr>
            <w:tcW w:w="132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8 090</w:t>
            </w:r>
          </w:p>
        </w:tc>
      </w:tr>
    </w:tbl>
    <w:p>
      <w:pPr>
        <w:pStyle w:val="BodyText"/>
        <w:spacing w:lineRule="auto" w:line="360"/>
        <w:ind w:firstLine="709"/>
        <w:jc w:val="both"/>
        <w:rPr/>
      </w:pPr>
      <w:bookmarkStart w:id="66" w:name="приложение-в"/>
      <w:r>
        <w:rPr>
          <w:sz w:val="28"/>
        </w:rPr>
        <w:t>Источник: расчёт автора.</w:t>
      </w:r>
      <w:bookmarkEnd w:id="66"/>
    </w:p>
    <w:p>
      <w:pPr>
        <w:pStyle w:val="Heading4"/>
        <w:spacing w:lineRule="auto" w:line="360"/>
        <w:ind w:hanging="0"/>
        <w:jc w:val="center"/>
        <w:rPr/>
      </w:pPr>
      <w:bookmarkStart w:id="67" w:name="приложение-г"/>
      <w:r>
        <w:rPr>
          <w:rFonts w:ascii="Times New Roman" w:hAnsi="Times New Roman"/>
          <w:b/>
          <w:color w:val="000000"/>
          <w:sz w:val="28"/>
        </w:rPr>
        <w:t>ПРИЛОЖЕНИЕ Г</w:t>
      </w:r>
    </w:p>
    <w:p>
      <w:pPr>
        <w:pStyle w:val="FirstParagraph"/>
        <w:spacing w:lineRule="auto" w:line="360"/>
        <w:ind w:firstLine="709"/>
        <w:jc w:val="both"/>
        <w:rPr/>
      </w:pPr>
      <w:r>
        <w:rPr>
          <w:sz w:val="28"/>
        </w:rPr>
        <w:t>Реестр ключевых показателей результативности сети фирменных магазинов</w:t>
      </w:r>
    </w:p>
    <w:p>
      <w:pPr>
        <w:pStyle w:val="BodyText"/>
        <w:spacing w:lineRule="auto" w:line="360"/>
        <w:ind w:firstLine="709"/>
        <w:jc w:val="both"/>
        <w:rPr/>
      </w:pPr>
      <w:r>
        <w:rPr>
          <w:sz w:val="28"/>
        </w:rPr>
        <w:t>Таблица Г.1 – Реестр KPI сети фирменных магазинов «ВИТА ЛАЙФ»</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Группа показателей</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Наименование показателя</w:t>
            </w:r>
          </w:p>
        </w:tc>
        <w:tc>
          <w:tcPr>
            <w:tcW w:w="1980"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Целевое значение</w:t>
            </w:r>
          </w:p>
        </w:tc>
        <w:tc>
          <w:tcPr>
            <w:tcW w:w="1979" w:type="dxa"/>
            <w:tcBorders>
              <w:bottom w:val="single" w:sz="6" w:space="0" w:color="000000"/>
            </w:tcBorders>
            <w:vAlign w:val="bottom"/>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Период оценки</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Коммерческие</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 сети, млн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157,3 (3-й год)</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Ежемесячно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Среднесуточная выручка торговой точки, тыс.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86 (3-й год)</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Ежемесячно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Средний чек,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470 (3-й год)</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Ежеквартально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Конверсия посетителя в покупателя,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32</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Ежеквартально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Финансовые</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Валовая маржинальность сети,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52</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Ежеквартально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Выручка с квадратного метра в месяц, руб/кв. м</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29 130 (3-й год)</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Ежемесячно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Доля коммерческих расходов в выручке,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35</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Ежеквартально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Маркетинговые</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Узнаваемость торговой марки в целевой аудитории Видного,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45 (3-й год)</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Полугодие</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Доля постоянных покупателей в выручке,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40 (3-й год)</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Полугодие</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Стоимость привлечения нового покупателя,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350</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Ежеквартально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Производственные</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Производственная себестоимость условной бутылки,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52 (3-й год)</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Ежемесячно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Доля брака,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1,2</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Ежемесячно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Уровень исполнения производственного плана,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97</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Ежемесячно</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Инвестиционные</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NPV проекта, млн руб</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47,2</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Год</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IRR проекта, %</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32,4</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Год</w:t>
            </w:r>
          </w:p>
        </w:tc>
      </w:tr>
      <w:tr>
        <w:trPr/>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Дисконтированный срок окупаемости, лет</w:t>
            </w:r>
          </w:p>
        </w:tc>
        <w:tc>
          <w:tcPr>
            <w:tcW w:w="1980"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3,2</w:t>
            </w:r>
          </w:p>
        </w:tc>
        <w:tc>
          <w:tcPr>
            <w:tcW w:w="1979" w:type="dxa"/>
            <w:tcBorders/>
          </w:tcPr>
          <w:p>
            <w:pPr>
              <w:pStyle w:val="Compact"/>
              <w:widowControl/>
              <w:spacing w:lineRule="auto" w:line="276" w:before="36" w:after="36"/>
              <w:ind w:hanging="0"/>
              <w:jc w:val="left"/>
              <w:rPr>
                <w:rFonts w:eastAsia="Cambria" w:cs=""/>
                <w:kern w:val="0"/>
                <w:szCs w:val="24"/>
                <w:lang w:val="en-US" w:eastAsia="en-US" w:bidi="ar-SA"/>
              </w:rPr>
            </w:pPr>
            <w:r>
              <w:rPr>
                <w:rFonts w:eastAsia="Cambria" w:cs=""/>
                <w:kern w:val="0"/>
                <w:sz w:val="24"/>
                <w:szCs w:val="24"/>
                <w:lang w:val="en-US" w:eastAsia="en-US" w:bidi="ar-SA"/>
              </w:rPr>
              <w:t>Контрольная точка</w:t>
            </w:r>
          </w:p>
        </w:tc>
      </w:tr>
    </w:tbl>
    <w:p>
      <w:pPr>
        <w:pStyle w:val="BodyText"/>
        <w:spacing w:lineRule="auto" w:line="360" w:before="180" w:after="180"/>
        <w:ind w:firstLine="709"/>
        <w:jc w:val="both"/>
        <w:rPr/>
      </w:pPr>
      <w:bookmarkStart w:id="68" w:name="выпускная-квалификационная-работа"/>
      <w:bookmarkStart w:id="69" w:name="приложения"/>
      <w:bookmarkStart w:id="70" w:name="приложение-г"/>
      <w:r>
        <w:rPr>
          <w:sz w:val="28"/>
        </w:rPr>
        <w:t>Источник: разработка автора.</w:t>
      </w:r>
      <w:bookmarkEnd w:id="68"/>
      <w:bookmarkEnd w:id="69"/>
      <w:bookmarkEnd w:id="70"/>
    </w:p>
    <w:sectPr>
      <w:footerReference w:type="even" r:id="rId12"/>
      <w:footerReference w:type="default" r:id="rId13"/>
      <w:footerReference w:type="first" r:id="rId14"/>
      <w:type w:val="nextPage"/>
      <w:pgSz w:w="12240" w:h="15840"/>
      <w:pgMar w:left="1701" w:right="850"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73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hanging="0"/>
      <w:jc w:val="center"/>
      <w:rPr/>
    </w:pPr>
    <w:r>
      <w:rPr/>
      <w:fldChar w:fldCharType="begin"/>
    </w:r>
    <w:r>
      <w:rPr/>
      <w:instrText xml:space="preserve"> PAGE </w:instrText>
    </w:r>
    <w:r>
      <w:rPr/>
      <w:fldChar w:fldCharType="separate"/>
    </w:r>
    <w:r>
      <w:rPr/>
      <w:t>73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10">
    <w:lvl w:ilvl="0">
      <w:start w:val="29"/>
      <w:numFmt w:val="decimal"/>
      <w:lvlText w:val="%1."/>
      <w:lvlJc w:val="left"/>
      <w:pPr>
        <w:tabs>
          <w:tab w:val="num" w:pos="0"/>
        </w:tabs>
        <w:ind w:left="720" w:hanging="480"/>
      </w:pPr>
      <w:rPr/>
    </w:lvl>
    <w:lvl w:ilvl="1">
      <w:start w:val="29"/>
      <w:numFmt w:val="decimal"/>
      <w:lvlText w:val="%2."/>
      <w:lvlJc w:val="left"/>
      <w:pPr>
        <w:tabs>
          <w:tab w:val="num" w:pos="0"/>
        </w:tabs>
        <w:ind w:left="1440" w:hanging="480"/>
      </w:pPr>
      <w:rPr/>
    </w:lvl>
    <w:lvl w:ilvl="2">
      <w:start w:val="29"/>
      <w:numFmt w:val="decimal"/>
      <w:lvlText w:val="%3."/>
      <w:lvlJc w:val="left"/>
      <w:pPr>
        <w:tabs>
          <w:tab w:val="num" w:pos="0"/>
        </w:tabs>
        <w:ind w:left="2160" w:hanging="480"/>
      </w:pPr>
      <w:rPr/>
    </w:lvl>
    <w:lvl w:ilvl="3">
      <w:start w:val="29"/>
      <w:numFmt w:val="decimal"/>
      <w:lvlText w:val="%4."/>
      <w:lvlJc w:val="left"/>
      <w:pPr>
        <w:tabs>
          <w:tab w:val="num" w:pos="0"/>
        </w:tabs>
        <w:ind w:left="2880" w:hanging="480"/>
      </w:pPr>
      <w:rPr/>
    </w:lvl>
    <w:lvl w:ilvl="4">
      <w:start w:val="29"/>
      <w:numFmt w:val="decimal"/>
      <w:lvlText w:val="%5."/>
      <w:lvlJc w:val="left"/>
      <w:pPr>
        <w:tabs>
          <w:tab w:val="num" w:pos="0"/>
        </w:tabs>
        <w:ind w:left="3600" w:hanging="480"/>
      </w:pPr>
      <w:rPr/>
    </w:lvl>
    <w:lvl w:ilvl="5">
      <w:start w:val="29"/>
      <w:numFmt w:val="decimal"/>
      <w:lvlText w:val="%6."/>
      <w:lvlJc w:val="left"/>
      <w:pPr>
        <w:tabs>
          <w:tab w:val="num" w:pos="0"/>
        </w:tabs>
        <w:ind w:left="4320" w:hanging="480"/>
      </w:pPr>
      <w:rPr/>
    </w:lvl>
    <w:lvl w:ilvl="6">
      <w:start w:val="29"/>
      <w:numFmt w:val="decimal"/>
      <w:lvlText w:val="%7."/>
      <w:lvlJc w:val="left"/>
      <w:pPr>
        <w:tabs>
          <w:tab w:val="num" w:pos="0"/>
        </w:tabs>
        <w:ind w:left="5040" w:hanging="480"/>
      </w:pPr>
      <w:rPr/>
    </w:lvl>
    <w:lvl w:ilvl="7">
      <w:start w:val="29"/>
      <w:numFmt w:val="decimal"/>
      <w:lvlText w:val="%8."/>
      <w:lvlJc w:val="left"/>
      <w:pPr>
        <w:tabs>
          <w:tab w:val="num" w:pos="0"/>
        </w:tabs>
        <w:ind w:left="5760" w:hanging="480"/>
      </w:pPr>
      <w:rPr/>
    </w:lvl>
    <w:lvl w:ilvl="8">
      <w:start w:val="29"/>
      <w:numFmt w:val="decimal"/>
      <w:lvlText w:val="%9."/>
      <w:lvlJc w:val="left"/>
      <w:pPr>
        <w:tabs>
          <w:tab w:val="num" w:pos="0"/>
        </w:tabs>
        <w:ind w:left="6480" w:hanging="480"/>
      </w:pPr>
      <w:rPr/>
    </w:lvl>
  </w:abstractNum>
  <w:abstractNum w:abstractNumId="11">
    <w:lvl w:ilvl="0">
      <w:start w:val="38"/>
      <w:numFmt w:val="decimal"/>
      <w:lvlText w:val="%1."/>
      <w:lvlJc w:val="left"/>
      <w:pPr>
        <w:tabs>
          <w:tab w:val="num" w:pos="0"/>
        </w:tabs>
        <w:ind w:left="720" w:hanging="480"/>
      </w:pPr>
      <w:rPr/>
    </w:lvl>
    <w:lvl w:ilvl="1">
      <w:start w:val="38"/>
      <w:numFmt w:val="decimal"/>
      <w:lvlText w:val="%2."/>
      <w:lvlJc w:val="left"/>
      <w:pPr>
        <w:tabs>
          <w:tab w:val="num" w:pos="0"/>
        </w:tabs>
        <w:ind w:left="1440" w:hanging="480"/>
      </w:pPr>
      <w:rPr/>
    </w:lvl>
    <w:lvl w:ilvl="2">
      <w:start w:val="38"/>
      <w:numFmt w:val="decimal"/>
      <w:lvlText w:val="%3."/>
      <w:lvlJc w:val="left"/>
      <w:pPr>
        <w:tabs>
          <w:tab w:val="num" w:pos="0"/>
        </w:tabs>
        <w:ind w:left="2160" w:hanging="480"/>
      </w:pPr>
      <w:rPr/>
    </w:lvl>
    <w:lvl w:ilvl="3">
      <w:start w:val="38"/>
      <w:numFmt w:val="decimal"/>
      <w:lvlText w:val="%4."/>
      <w:lvlJc w:val="left"/>
      <w:pPr>
        <w:tabs>
          <w:tab w:val="num" w:pos="0"/>
        </w:tabs>
        <w:ind w:left="2880" w:hanging="480"/>
      </w:pPr>
      <w:rPr/>
    </w:lvl>
    <w:lvl w:ilvl="4">
      <w:start w:val="38"/>
      <w:numFmt w:val="decimal"/>
      <w:lvlText w:val="%5."/>
      <w:lvlJc w:val="left"/>
      <w:pPr>
        <w:tabs>
          <w:tab w:val="num" w:pos="0"/>
        </w:tabs>
        <w:ind w:left="3600" w:hanging="480"/>
      </w:pPr>
      <w:rPr/>
    </w:lvl>
    <w:lvl w:ilvl="5">
      <w:start w:val="38"/>
      <w:numFmt w:val="decimal"/>
      <w:lvlText w:val="%6."/>
      <w:lvlJc w:val="left"/>
      <w:pPr>
        <w:tabs>
          <w:tab w:val="num" w:pos="0"/>
        </w:tabs>
        <w:ind w:left="4320" w:hanging="480"/>
      </w:pPr>
      <w:rPr/>
    </w:lvl>
    <w:lvl w:ilvl="6">
      <w:start w:val="38"/>
      <w:numFmt w:val="decimal"/>
      <w:lvlText w:val="%7."/>
      <w:lvlJc w:val="left"/>
      <w:pPr>
        <w:tabs>
          <w:tab w:val="num" w:pos="0"/>
        </w:tabs>
        <w:ind w:left="5040" w:hanging="480"/>
      </w:pPr>
      <w:rPr/>
    </w:lvl>
    <w:lvl w:ilvl="7">
      <w:start w:val="38"/>
      <w:numFmt w:val="decimal"/>
      <w:lvlText w:val="%8."/>
      <w:lvlJc w:val="left"/>
      <w:pPr>
        <w:tabs>
          <w:tab w:val="num" w:pos="0"/>
        </w:tabs>
        <w:ind w:left="5760" w:hanging="480"/>
      </w:pPr>
      <w:rPr/>
    </w:lvl>
    <w:lvl w:ilvl="8">
      <w:start w:val="38"/>
      <w:numFmt w:val="decimal"/>
      <w:lvlText w:val="%9."/>
      <w:lvlJc w:val="left"/>
      <w:pPr>
        <w:tabs>
          <w:tab w:val="num" w:pos="0"/>
        </w:tabs>
        <w:ind w:left="6480" w:hanging="480"/>
      </w:pPr>
      <w:rPr/>
    </w:lvl>
  </w:abstractNum>
  <w:abstractNum w:abstractNumId="12">
    <w:lvl w:ilvl="0">
      <w:start w:val="48"/>
      <w:numFmt w:val="decimal"/>
      <w:lvlText w:val="%1."/>
      <w:lvlJc w:val="left"/>
      <w:pPr>
        <w:tabs>
          <w:tab w:val="num" w:pos="0"/>
        </w:tabs>
        <w:ind w:left="720" w:hanging="480"/>
      </w:pPr>
      <w:rPr/>
    </w:lvl>
    <w:lvl w:ilvl="1">
      <w:start w:val="48"/>
      <w:numFmt w:val="decimal"/>
      <w:lvlText w:val="%2."/>
      <w:lvlJc w:val="left"/>
      <w:pPr>
        <w:tabs>
          <w:tab w:val="num" w:pos="0"/>
        </w:tabs>
        <w:ind w:left="1440" w:hanging="480"/>
      </w:pPr>
      <w:rPr/>
    </w:lvl>
    <w:lvl w:ilvl="2">
      <w:start w:val="48"/>
      <w:numFmt w:val="decimal"/>
      <w:lvlText w:val="%3."/>
      <w:lvlJc w:val="left"/>
      <w:pPr>
        <w:tabs>
          <w:tab w:val="num" w:pos="0"/>
        </w:tabs>
        <w:ind w:left="2160" w:hanging="480"/>
      </w:pPr>
      <w:rPr/>
    </w:lvl>
    <w:lvl w:ilvl="3">
      <w:start w:val="48"/>
      <w:numFmt w:val="decimal"/>
      <w:lvlText w:val="%4."/>
      <w:lvlJc w:val="left"/>
      <w:pPr>
        <w:tabs>
          <w:tab w:val="num" w:pos="0"/>
        </w:tabs>
        <w:ind w:left="2880" w:hanging="480"/>
      </w:pPr>
      <w:rPr/>
    </w:lvl>
    <w:lvl w:ilvl="4">
      <w:start w:val="48"/>
      <w:numFmt w:val="decimal"/>
      <w:lvlText w:val="%5."/>
      <w:lvlJc w:val="left"/>
      <w:pPr>
        <w:tabs>
          <w:tab w:val="num" w:pos="0"/>
        </w:tabs>
        <w:ind w:left="3600" w:hanging="480"/>
      </w:pPr>
      <w:rPr/>
    </w:lvl>
    <w:lvl w:ilvl="5">
      <w:start w:val="48"/>
      <w:numFmt w:val="decimal"/>
      <w:lvlText w:val="%6."/>
      <w:lvlJc w:val="left"/>
      <w:pPr>
        <w:tabs>
          <w:tab w:val="num" w:pos="0"/>
        </w:tabs>
        <w:ind w:left="4320" w:hanging="480"/>
      </w:pPr>
      <w:rPr/>
    </w:lvl>
    <w:lvl w:ilvl="6">
      <w:start w:val="48"/>
      <w:numFmt w:val="decimal"/>
      <w:lvlText w:val="%7."/>
      <w:lvlJc w:val="left"/>
      <w:pPr>
        <w:tabs>
          <w:tab w:val="num" w:pos="0"/>
        </w:tabs>
        <w:ind w:left="5040" w:hanging="480"/>
      </w:pPr>
      <w:rPr/>
    </w:lvl>
    <w:lvl w:ilvl="7">
      <w:start w:val="48"/>
      <w:numFmt w:val="decimal"/>
      <w:lvlText w:val="%8."/>
      <w:lvlJc w:val="left"/>
      <w:pPr>
        <w:tabs>
          <w:tab w:val="num" w:pos="0"/>
        </w:tabs>
        <w:ind w:left="5760" w:hanging="480"/>
      </w:pPr>
      <w:rPr/>
    </w:lvl>
    <w:lvl w:ilvl="8">
      <w:start w:val="48"/>
      <w:numFmt w:val="decimal"/>
      <w:lvlText w:val="%9."/>
      <w:lvlJc w:val="left"/>
      <w:pPr>
        <w:tabs>
          <w:tab w:val="num" w:pos="0"/>
        </w:tabs>
        <w:ind w:left="6480" w:hanging="480"/>
      </w:pPr>
      <w:rPr/>
    </w:lvl>
  </w:abstractNum>
  <w:abstractNum w:abstractNumId="13">
    <w:lvl w:ilvl="0">
      <w:start w:val="51"/>
      <w:numFmt w:val="decimal"/>
      <w:lvlText w:val="%1."/>
      <w:lvlJc w:val="left"/>
      <w:pPr>
        <w:tabs>
          <w:tab w:val="num" w:pos="0"/>
        </w:tabs>
        <w:ind w:left="720" w:hanging="480"/>
      </w:pPr>
      <w:rPr/>
    </w:lvl>
    <w:lvl w:ilvl="1">
      <w:start w:val="51"/>
      <w:numFmt w:val="decimal"/>
      <w:lvlText w:val="%2."/>
      <w:lvlJc w:val="left"/>
      <w:pPr>
        <w:tabs>
          <w:tab w:val="num" w:pos="0"/>
        </w:tabs>
        <w:ind w:left="1440" w:hanging="480"/>
      </w:pPr>
      <w:rPr/>
    </w:lvl>
    <w:lvl w:ilvl="2">
      <w:start w:val="51"/>
      <w:numFmt w:val="decimal"/>
      <w:lvlText w:val="%3."/>
      <w:lvlJc w:val="left"/>
      <w:pPr>
        <w:tabs>
          <w:tab w:val="num" w:pos="0"/>
        </w:tabs>
        <w:ind w:left="2160" w:hanging="480"/>
      </w:pPr>
      <w:rPr/>
    </w:lvl>
    <w:lvl w:ilvl="3">
      <w:start w:val="51"/>
      <w:numFmt w:val="decimal"/>
      <w:lvlText w:val="%4."/>
      <w:lvlJc w:val="left"/>
      <w:pPr>
        <w:tabs>
          <w:tab w:val="num" w:pos="0"/>
        </w:tabs>
        <w:ind w:left="2880" w:hanging="480"/>
      </w:pPr>
      <w:rPr/>
    </w:lvl>
    <w:lvl w:ilvl="4">
      <w:start w:val="51"/>
      <w:numFmt w:val="decimal"/>
      <w:lvlText w:val="%5."/>
      <w:lvlJc w:val="left"/>
      <w:pPr>
        <w:tabs>
          <w:tab w:val="num" w:pos="0"/>
        </w:tabs>
        <w:ind w:left="3600" w:hanging="480"/>
      </w:pPr>
      <w:rPr/>
    </w:lvl>
    <w:lvl w:ilvl="5">
      <w:start w:val="51"/>
      <w:numFmt w:val="decimal"/>
      <w:lvlText w:val="%6."/>
      <w:lvlJc w:val="left"/>
      <w:pPr>
        <w:tabs>
          <w:tab w:val="num" w:pos="0"/>
        </w:tabs>
        <w:ind w:left="4320" w:hanging="480"/>
      </w:pPr>
      <w:rPr/>
    </w:lvl>
    <w:lvl w:ilvl="6">
      <w:start w:val="51"/>
      <w:numFmt w:val="decimal"/>
      <w:lvlText w:val="%7."/>
      <w:lvlJc w:val="left"/>
      <w:pPr>
        <w:tabs>
          <w:tab w:val="num" w:pos="0"/>
        </w:tabs>
        <w:ind w:left="5040" w:hanging="480"/>
      </w:pPr>
      <w:rPr/>
    </w:lvl>
    <w:lvl w:ilvl="7">
      <w:start w:val="51"/>
      <w:numFmt w:val="decimal"/>
      <w:lvlText w:val="%8."/>
      <w:lvlJc w:val="left"/>
      <w:pPr>
        <w:tabs>
          <w:tab w:val="num" w:pos="0"/>
        </w:tabs>
        <w:ind w:left="5760" w:hanging="480"/>
      </w:pPr>
      <w:rPr/>
    </w:lvl>
    <w:lvl w:ilvl="8">
      <w:start w:val="51"/>
      <w:numFmt w:val="decimal"/>
      <w:lvlText w:val="%9."/>
      <w:lvlJc w:val="left"/>
      <w:pPr>
        <w:tabs>
          <w:tab w:val="num" w:pos="0"/>
        </w:tabs>
        <w:ind w:left="6480" w:hanging="480"/>
      </w:pPr>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8"/>
    <w:lvlOverride w:ilvl="0">
      <w:startOverride w:val="1"/>
    </w:lvlOverride>
  </w:num>
  <w:num w:numId="43">
    <w:abstractNumId w:val="9"/>
    <w:lvlOverride w:ilvl="0">
      <w:startOverride w:val="10"/>
    </w:lvlOverride>
  </w:num>
  <w:num w:numId="44">
    <w:abstractNumId w:val="10"/>
    <w:lvlOverride w:ilvl="0">
      <w:startOverride w:val="29"/>
    </w:lvlOverride>
  </w:num>
  <w:num w:numId="45">
    <w:abstractNumId w:val="11"/>
    <w:lvlOverride w:ilvl="0">
      <w:startOverride w:val="38"/>
    </w:lvlOverride>
  </w:num>
  <w:num w:numId="46">
    <w:abstractNumId w:val="12"/>
    <w:lvlOverride w:ilvl="0">
      <w:startOverride w:val="48"/>
    </w:lvlOverride>
  </w:num>
  <w:num w:numId="47">
    <w:abstractNumId w:val="13"/>
    <w:lvlOverride w:ilvl="0">
      <w:startOverride w:val="5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360" w:before="0" w:after="0"/>
      <w:ind w:firstLine="709"/>
      <w:jc w:val="left"/>
    </w:pPr>
    <w:rPr>
      <w:rFonts w:ascii="Times New Roman" w:hAnsi="Times New Roman" w:eastAsia="Cambria" w:cs="" w:cstheme="minorBidi" w:eastAsiaTheme="minorHAnsi"/>
      <w:color w:val="auto"/>
      <w:kern w:val="0"/>
      <w:sz w:val="28"/>
      <w:szCs w:val="24"/>
      <w:lang w:val="en-US" w:eastAsia="en-US" w:bidi="ar-SA"/>
    </w:rPr>
  </w:style>
  <w:style w:type="paragraph" w:styleId="Heading1">
    <w:name w:val="Heading 1"/>
    <w:basedOn w:val="Normal"/>
    <w:next w:val="BodyText"/>
    <w:uiPriority w:val="9"/>
    <w:qFormat/>
    <w:pPr>
      <w:keepNext w:val="true"/>
      <w:keepLines/>
      <w:spacing w:lineRule="auto" w:line="360" w:before="240" w:after="240"/>
      <w:ind w:hanging="0"/>
      <w:jc w:val="center"/>
      <w:outlineLvl w:val="0"/>
    </w:pPr>
    <w:rPr>
      <w:rFonts w:ascii="Calibri" w:hAnsi="Calibri" w:eastAsia="" w:cs="" w:asciiTheme="majorHAnsi" w:cstheme="majorBidi" w:eastAsiaTheme="majorEastAsia" w:hAnsiTheme="majorHAnsi"/>
      <w:b/>
      <w:bCs/>
      <w:color w:val="000000"/>
      <w:sz w:val="28"/>
      <w:szCs w:val="32"/>
    </w:rPr>
  </w:style>
  <w:style w:type="paragraph" w:styleId="Heading2">
    <w:name w:val="Heading 2"/>
    <w:basedOn w:val="Normal"/>
    <w:next w:val="BodyText"/>
    <w:uiPriority w:val="9"/>
    <w:unhideWhenUsed/>
    <w:qFormat/>
    <w:pPr>
      <w:keepNext w:val="true"/>
      <w:keepLines/>
      <w:spacing w:lineRule="auto" w:line="360" w:before="240" w:after="240"/>
      <w:ind w:hanging="0"/>
      <w:jc w:val="center"/>
      <w:outlineLvl w:val="1"/>
    </w:pPr>
    <w:rPr>
      <w:rFonts w:ascii="Calibri" w:hAnsi="Calibri" w:eastAsia="" w:cs="" w:asciiTheme="majorHAnsi" w:cstheme="majorBidi" w:eastAsiaTheme="majorEastAsia" w:hAnsiTheme="majorHAnsi"/>
      <w:b/>
      <w:bCs/>
      <w:color w:val="000000"/>
      <w:sz w:val="28"/>
      <w:szCs w:val="28"/>
    </w:rPr>
  </w:style>
  <w:style w:type="paragraph" w:styleId="Heading3">
    <w:name w:val="Heading 3"/>
    <w:basedOn w:val="Normal"/>
    <w:next w:val="BodyText"/>
    <w:uiPriority w:val="9"/>
    <w:unhideWhenUsed/>
    <w:qFormat/>
    <w:pPr>
      <w:keepNext w:val="true"/>
      <w:keepLines/>
      <w:spacing w:lineRule="auto" w:line="360" w:before="240" w:after="240"/>
      <w:ind w:hanging="0"/>
      <w:jc w:val="center"/>
      <w:outlineLvl w:val="2"/>
    </w:pPr>
    <w:rPr>
      <w:rFonts w:ascii="Calibri" w:hAnsi="Calibri" w:eastAsia="" w:cs="" w:asciiTheme="majorHAnsi" w:cstheme="majorBidi" w:eastAsiaTheme="majorEastAsia" w:hAnsiTheme="majorHAnsi"/>
      <w:b/>
      <w:bCs/>
      <w:color w:val="000000"/>
      <w:sz w:val="28"/>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000000"/>
      <w:u w:val="none"/>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Micro Hei"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OC1">
    <w:name w:val="TOC 1"/>
    <w:pPr>
      <w:widowControl/>
      <w:tabs>
        <w:tab w:val="clear" w:pos="720"/>
        <w:tab w:val="right" w:pos="9300" w:leader="dot"/>
      </w:tabs>
      <w:bidi w:val="0"/>
      <w:spacing w:lineRule="auto" w:line="360" w:before="0" w:after="0"/>
      <w:jc w:val="left"/>
    </w:pPr>
    <w:rPr>
      <w:rFonts w:ascii="Times New Roman" w:hAnsi="Times New Roman" w:eastAsia="Times New Roman" w:cs="Times New Roman"/>
      <w:color w:val="000000"/>
      <w:kern w:val="0"/>
      <w:sz w:val="28"/>
      <w:szCs w:val="28"/>
      <w:lang w:val="en-US" w:eastAsia="en-US" w:bidi="ar-SA"/>
    </w:rPr>
  </w:style>
  <w:style w:type="paragraph" w:styleId="TOC2">
    <w:name w:val="TOC 2"/>
    <w:pPr>
      <w:widowControl/>
      <w:tabs>
        <w:tab w:val="clear" w:pos="720"/>
        <w:tab w:val="right" w:pos="9300" w:leader="dot"/>
      </w:tabs>
      <w:bidi w:val="0"/>
      <w:spacing w:lineRule="auto" w:line="360" w:before="0" w:after="0"/>
      <w:ind w:left="425"/>
      <w:jc w:val="left"/>
    </w:pPr>
    <w:rPr>
      <w:rFonts w:ascii="Times New Roman" w:hAnsi="Times New Roman" w:eastAsia="Times New Roman" w:cs="Times New Roman"/>
      <w:color w:val="000000"/>
      <w:kern w:val="0"/>
      <w:sz w:val="28"/>
      <w:szCs w:val="28"/>
      <w:lang w:val="en-US" w:eastAsia="en-US" w:bidi="ar-SA"/>
    </w:rPr>
  </w:style>
  <w:style w:type="paragraph" w:styleId="TOC3">
    <w:name w:val="TOC 3"/>
    <w:pPr>
      <w:widowControl/>
      <w:tabs>
        <w:tab w:val="clear" w:pos="720"/>
        <w:tab w:val="right" w:pos="9300" w:leader="dot"/>
      </w:tabs>
      <w:bidi w:val="0"/>
      <w:spacing w:lineRule="auto" w:line="360" w:before="0" w:after="0"/>
      <w:ind w:left="850"/>
      <w:jc w:val="left"/>
    </w:pPr>
    <w:rPr>
      <w:rFonts w:ascii="Times New Roman" w:hAnsi="Times New Roman" w:eastAsia="Times New Roman" w:cs="Times New Roman"/>
      <w:color w:val="000000"/>
      <w:kern w:val="0"/>
      <w:sz w:val="28"/>
      <w:szCs w:val="28"/>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osstat.gov.ru/" TargetMode="External"/><Relationship Id="rId3" Type="http://schemas.openxmlformats.org/officeDocument/2006/relationships/hyperlink" Target="https://www.cbr.ru/" TargetMode="External"/><Relationship Id="rId4" Type="http://schemas.openxmlformats.org/officeDocument/2006/relationships/hyperlink" Target="https://minpromtorg.gov.ru/" TargetMode="External"/><Relationship Id="rId5" Type="http://schemas.openxmlformats.org/officeDocument/2006/relationships/hyperlink" Target="https://mii.mosreg.ru/" TargetMode="External"/><Relationship Id="rId6" Type="http://schemas.openxmlformats.org/officeDocument/2006/relationships/hyperlink" Target="https://egrul.nalog.ru/" TargetMode="External"/><Relationship Id="rId7" Type="http://schemas.openxmlformats.org/officeDocument/2006/relationships/hyperlink" Target="https://rmsp.nalog.ru/" TargetMode="External"/><Relationship Id="rId8" Type="http://schemas.openxmlformats.org/officeDocument/2006/relationships/hyperlink" Target="https://www.rusprofile.ru/" TargetMode="External"/><Relationship Id="rId9" Type="http://schemas.openxmlformats.org/officeDocument/2006/relationships/hyperlink" Target="https://saby.ru/" TargetMode="External"/><Relationship Id="rId10" Type="http://schemas.openxmlformats.org/officeDocument/2006/relationships/hyperlink" Target="https://www.tadviser.ru/" TargetMode="External"/><Relationship Id="rId11" Type="http://schemas.openxmlformats.org/officeDocument/2006/relationships/hyperlink" Target="https://www.akort.ru/"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72</Pages>
  <Words>11097</Words>
  <Characters>75917</Characters>
  <CharactersWithSpaces>85588</CharactersWithSpaces>
  <Paragraphs>1504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2026-05-26T14:30:45Z</dcterms:created>
  <dc:creator/>
  <dc:description/>
  <dc:language>en-US</dc:language>
  <cp:lastModifiedBy/>
  <dcterms:modified xsi:type="dcterms:W3CDTF">2026-05-26T14:30:47Z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