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ind w:left="3180"/>
        <w:spacing w:before="71" w:line="219" w:lineRule="auto"/>
        <w:rPr>
          <w:rFonts w:ascii="SimSun" w:hAnsi="SimSun" w:eastAsia="SimSun" w:cs="SimSun"/>
          <w:sz w:val="36"/>
          <w:szCs w:val="36"/>
        </w:rPr>
      </w:pPr>
      <w:r>
        <w:drawing>
          <wp:anchor distT="0" distB="0" distL="0" distR="0" simplePos="0" relativeHeight="251658240" behindDoc="0" locked="0" layoutInCell="0" allowOverlap="1">
            <wp:simplePos x="0" y="0"/>
            <wp:positionH relativeFrom="page">
              <wp:posOffset>7245314</wp:posOffset>
            </wp:positionH>
            <wp:positionV relativeFrom="page">
              <wp:posOffset>8540771</wp:posOffset>
            </wp:positionV>
            <wp:extent cx="241306" cy="1054047"/>
            <wp:effectExtent l="0" t="0" r="0" b="0"/>
            <wp:wrapNone/>
            <wp:docPr id="1" name="IM 1"/>
            <wp:cNvGraphicFramePr/>
            <a:graphic>
              <a:graphicData uri="http://schemas.openxmlformats.org/drawingml/2006/picture">
                <pic:pic>
                  <pic:nvPicPr>
                    <pic:cNvPr id="1" name="IM 1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41306" cy="1054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mSun" w:hAnsi="SimSun" w:eastAsia="SimSun" w:cs="SimSun"/>
          <w:sz w:val="36"/>
          <w:szCs w:val="36"/>
          <w:b/>
          <w:bCs/>
          <w:spacing w:val="-6"/>
        </w:rPr>
        <w:t>重庆市政府采购合同</w:t>
      </w:r>
    </w:p>
    <w:p>
      <w:pPr>
        <w:ind w:left="3605"/>
        <w:spacing w:before="15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11"/>
        </w:rPr>
        <w:t>(项目编号：</w:t>
      </w:r>
    </w:p>
    <w:p>
      <w:pPr>
        <w:spacing w:line="313" w:lineRule="auto"/>
        <w:rPr>
          <w:rFonts w:ascii="Arial"/>
          <w:sz w:val="21"/>
        </w:rPr>
      </w:pPr>
      <w:r/>
    </w:p>
    <w:p>
      <w:pPr>
        <w:spacing w:line="313" w:lineRule="auto"/>
        <w:rPr>
          <w:rFonts w:ascii="Arial"/>
          <w:sz w:val="21"/>
        </w:rPr>
      </w:pPr>
      <w:r/>
    </w:p>
    <w:p>
      <w:pPr>
        <w:ind w:left="115"/>
        <w:spacing w:before="81" w:line="218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3"/>
        </w:rPr>
        <w:t>甲方(需方):</w:t>
      </w:r>
      <w:r>
        <w:rPr>
          <w:rFonts w:ascii="SimSun" w:hAnsi="SimSun" w:eastAsia="SimSun" w:cs="SimSun"/>
          <w:sz w:val="25"/>
          <w:szCs w:val="25"/>
          <w:spacing w:val="-7"/>
        </w:rPr>
        <w:t xml:space="preserve"> </w:t>
      </w:r>
      <w:r>
        <w:rPr>
          <w:rFonts w:ascii="SimSun" w:hAnsi="SimSun" w:eastAsia="SimSun" w:cs="SimSun"/>
          <w:sz w:val="25"/>
          <w:szCs w:val="25"/>
          <w:u w:val="single" w:color="auto"/>
          <w:spacing w:val="-3"/>
        </w:rPr>
        <w:t>重庆市铜梁区建筑工程质量安全管理事务中心</w:t>
      </w:r>
      <w:r>
        <w:rPr>
          <w:rFonts w:ascii="SimSun" w:hAnsi="SimSun" w:eastAsia="SimSun" w:cs="SimSun"/>
          <w:sz w:val="25"/>
          <w:szCs w:val="25"/>
          <w:spacing w:val="26"/>
        </w:rPr>
        <w:t xml:space="preserve">   </w:t>
      </w:r>
      <w:r>
        <w:rPr>
          <w:rFonts w:ascii="SimSun" w:hAnsi="SimSun" w:eastAsia="SimSun" w:cs="SimSun"/>
          <w:sz w:val="25"/>
          <w:szCs w:val="25"/>
          <w:spacing w:val="-3"/>
        </w:rPr>
        <w:t>计价单位：</w:t>
      </w:r>
      <w:r>
        <w:rPr>
          <w:rFonts w:ascii="SimSun" w:hAnsi="SimSun" w:eastAsia="SimSun" w:cs="SimSun"/>
          <w:sz w:val="25"/>
          <w:szCs w:val="25"/>
          <w:spacing w:val="-103"/>
        </w:rPr>
        <w:t xml:space="preserve"> </w:t>
      </w:r>
      <w:r>
        <w:rPr>
          <w:rFonts w:ascii="SimSun" w:hAnsi="SimSun" w:eastAsia="SimSun" w:cs="SimSun"/>
          <w:sz w:val="25"/>
          <w:szCs w:val="25"/>
          <w:u w:val="single" w:color="auto"/>
          <w:spacing w:val="25"/>
        </w:rPr>
        <w:t xml:space="preserve">    </w:t>
      </w:r>
      <w:r>
        <w:rPr>
          <w:rFonts w:ascii="SimSun" w:hAnsi="SimSun" w:eastAsia="SimSun" w:cs="SimSun"/>
          <w:sz w:val="25"/>
          <w:szCs w:val="25"/>
          <w:spacing w:val="-10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3"/>
        </w:rPr>
        <w:t>元</w:t>
      </w:r>
    </w:p>
    <w:p>
      <w:pPr>
        <w:ind w:left="115"/>
        <w:spacing w:before="185" w:line="219" w:lineRule="auto"/>
        <w:rPr>
          <w:rFonts w:ascii="SimSun" w:hAnsi="SimSun" w:eastAsia="SimSun" w:cs="SimSun"/>
          <w:sz w:val="25"/>
          <w:szCs w:val="25"/>
        </w:rPr>
      </w:pPr>
      <w:r>
        <w:rPr>
          <w:rFonts w:ascii="SimSun" w:hAnsi="SimSun" w:eastAsia="SimSun" w:cs="SimSun"/>
          <w:sz w:val="25"/>
          <w:szCs w:val="25"/>
          <w:spacing w:val="-9"/>
        </w:rPr>
        <w:t>乙方(供方):</w:t>
      </w:r>
      <w:r>
        <w:rPr>
          <w:rFonts w:ascii="SimSun" w:hAnsi="SimSun" w:eastAsia="SimSun" w:cs="SimSun"/>
          <w:sz w:val="25"/>
          <w:szCs w:val="25"/>
          <w:spacing w:val="15"/>
        </w:rPr>
        <w:t xml:space="preserve">     </w:t>
      </w:r>
      <w:r>
        <w:rPr>
          <w:rFonts w:ascii="SimSun" w:hAnsi="SimSun" w:eastAsia="SimSun" w:cs="SimSun"/>
          <w:sz w:val="25"/>
          <w:szCs w:val="25"/>
          <w:spacing w:val="-9"/>
        </w:rPr>
        <w:t>中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科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三</w:t>
      </w:r>
      <w:r>
        <w:rPr>
          <w:rFonts w:ascii="SimSun" w:hAnsi="SimSun" w:eastAsia="SimSun" w:cs="SimSun"/>
          <w:sz w:val="25"/>
          <w:szCs w:val="25"/>
          <w:spacing w:val="-48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正</w:t>
      </w:r>
      <w:r>
        <w:rPr>
          <w:rFonts w:ascii="SimSun" w:hAnsi="SimSun" w:eastAsia="SimSun" w:cs="SimSun"/>
          <w:sz w:val="25"/>
          <w:szCs w:val="25"/>
          <w:spacing w:val="-5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建</w:t>
      </w:r>
      <w:r>
        <w:rPr>
          <w:rFonts w:ascii="SimSun" w:hAnsi="SimSun" w:eastAsia="SimSun" w:cs="SimSun"/>
          <w:sz w:val="25"/>
          <w:szCs w:val="25"/>
          <w:spacing w:val="-49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设</w:t>
      </w:r>
      <w:r>
        <w:rPr>
          <w:rFonts w:ascii="SimSun" w:hAnsi="SimSun" w:eastAsia="SimSun" w:cs="SimSun"/>
          <w:sz w:val="25"/>
          <w:szCs w:val="25"/>
          <w:spacing w:val="-5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集</w:t>
      </w:r>
      <w:r>
        <w:rPr>
          <w:rFonts w:ascii="SimSun" w:hAnsi="SimSun" w:eastAsia="SimSun" w:cs="SimSun"/>
          <w:sz w:val="25"/>
          <w:szCs w:val="25"/>
          <w:spacing w:val="-31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团</w:t>
      </w:r>
      <w:r>
        <w:rPr>
          <w:rFonts w:ascii="SimSun" w:hAnsi="SimSun" w:eastAsia="SimSun" w:cs="SimSun"/>
          <w:sz w:val="25"/>
          <w:szCs w:val="25"/>
          <w:spacing w:val="-52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有</w:t>
      </w:r>
      <w:r>
        <w:rPr>
          <w:rFonts w:ascii="SimSun" w:hAnsi="SimSun" w:eastAsia="SimSun" w:cs="SimSun"/>
          <w:sz w:val="25"/>
          <w:szCs w:val="25"/>
          <w:spacing w:val="-3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限</w:t>
      </w:r>
      <w:r>
        <w:rPr>
          <w:rFonts w:ascii="SimSun" w:hAnsi="SimSun" w:eastAsia="SimSun" w:cs="SimSun"/>
          <w:sz w:val="25"/>
          <w:szCs w:val="25"/>
          <w:spacing w:val="-4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公</w:t>
      </w:r>
      <w:r>
        <w:rPr>
          <w:rFonts w:ascii="SimSun" w:hAnsi="SimSun" w:eastAsia="SimSun" w:cs="SimSun"/>
          <w:sz w:val="25"/>
          <w:szCs w:val="25"/>
          <w:spacing w:val="-44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9"/>
        </w:rPr>
        <w:t>司</w:t>
      </w:r>
      <w:r>
        <w:rPr>
          <w:rFonts w:ascii="SimSun" w:hAnsi="SimSun" w:eastAsia="SimSun" w:cs="SimSun"/>
          <w:sz w:val="25"/>
          <w:szCs w:val="25"/>
          <w:spacing w:val="3"/>
        </w:rPr>
        <w:t xml:space="preserve">        </w:t>
      </w:r>
      <w:r>
        <w:rPr>
          <w:rFonts w:ascii="SimSun" w:hAnsi="SimSun" w:eastAsia="SimSun" w:cs="SimSun"/>
          <w:sz w:val="25"/>
          <w:szCs w:val="25"/>
          <w:spacing w:val="-9"/>
        </w:rPr>
        <w:t>计</w:t>
      </w:r>
      <w:r>
        <w:rPr>
          <w:rFonts w:ascii="SimSun" w:hAnsi="SimSun" w:eastAsia="SimSun" w:cs="SimSun"/>
          <w:sz w:val="25"/>
          <w:szCs w:val="25"/>
          <w:spacing w:val="-10"/>
        </w:rPr>
        <w:t>量单位：</w:t>
      </w:r>
      <w:r>
        <w:rPr>
          <w:rFonts w:ascii="SimSun" w:hAnsi="SimSun" w:eastAsia="SimSun" w:cs="SimSun"/>
          <w:sz w:val="25"/>
          <w:szCs w:val="25"/>
          <w:spacing w:val="16"/>
        </w:rPr>
        <w:t xml:space="preserve"> </w:t>
      </w:r>
      <w:r>
        <w:rPr>
          <w:rFonts w:ascii="SimSun" w:hAnsi="SimSun" w:eastAsia="SimSun" w:cs="SimSun"/>
          <w:sz w:val="25"/>
          <w:szCs w:val="25"/>
          <w:u w:val="single" w:color="auto"/>
          <w:spacing w:val="25"/>
        </w:rPr>
        <w:t xml:space="preserve">    </w:t>
      </w:r>
      <w:r>
        <w:rPr>
          <w:rFonts w:ascii="SimSun" w:hAnsi="SimSun" w:eastAsia="SimSun" w:cs="SimSun"/>
          <w:sz w:val="25"/>
          <w:szCs w:val="25"/>
          <w:spacing w:val="-106"/>
        </w:rPr>
        <w:t xml:space="preserve"> </w:t>
      </w:r>
      <w:r>
        <w:rPr>
          <w:rFonts w:ascii="SimSun" w:hAnsi="SimSun" w:eastAsia="SimSun" w:cs="SimSun"/>
          <w:sz w:val="25"/>
          <w:szCs w:val="25"/>
          <w:spacing w:val="-10"/>
        </w:rPr>
        <w:t>个</w:t>
      </w:r>
    </w:p>
    <w:p>
      <w:pPr>
        <w:ind w:left="115"/>
        <w:spacing w:before="234" w:line="220" w:lineRule="auto"/>
        <w:rPr>
          <w:rFonts w:ascii="SimSun" w:hAnsi="SimSun" w:eastAsia="SimSun" w:cs="SimSun"/>
          <w:sz w:val="22"/>
          <w:szCs w:val="22"/>
        </w:rPr>
      </w:pPr>
      <w:r>
        <w:rPr>
          <w:rFonts w:ascii="SimSun" w:hAnsi="SimSun" w:eastAsia="SimSun" w:cs="SimSun"/>
          <w:sz w:val="22"/>
          <w:szCs w:val="22"/>
          <w:spacing w:val="6"/>
        </w:rPr>
        <w:t>经双方协商一致，达成以下购销合同：</w:t>
      </w:r>
    </w:p>
    <w:p>
      <w:pPr>
        <w:spacing w:line="23" w:lineRule="exact"/>
        <w:rPr/>
      </w:pPr>
      <w:r/>
    </w:p>
    <w:tbl>
      <w:tblPr>
        <w:tblStyle w:val="2"/>
        <w:tblW w:w="9588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2363"/>
        <w:gridCol w:w="1468"/>
        <w:gridCol w:w="1838"/>
        <w:gridCol w:w="979"/>
        <w:gridCol w:w="1518"/>
        <w:gridCol w:w="1422"/>
      </w:tblGrid>
      <w:tr>
        <w:trPr>
          <w:trHeight w:val="405" w:hRule="atLeast"/>
        </w:trPr>
        <w:tc>
          <w:tcPr>
            <w:tcW w:w="2363" w:type="dxa"/>
            <w:vAlign w:val="top"/>
          </w:tcPr>
          <w:p>
            <w:pPr>
              <w:ind w:left="755"/>
              <w:spacing w:before="104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项目名称</w:t>
            </w:r>
          </w:p>
        </w:tc>
        <w:tc>
          <w:tcPr>
            <w:tcW w:w="1468" w:type="dxa"/>
            <w:vAlign w:val="top"/>
          </w:tcPr>
          <w:p>
            <w:pPr>
              <w:ind w:left="511"/>
              <w:spacing w:before="103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数量</w:t>
            </w:r>
          </w:p>
        </w:tc>
        <w:tc>
          <w:tcPr>
            <w:tcW w:w="1838" w:type="dxa"/>
            <w:vAlign w:val="top"/>
          </w:tcPr>
          <w:p>
            <w:pPr>
              <w:ind w:left="494"/>
              <w:spacing w:before="101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综合单价</w:t>
            </w:r>
          </w:p>
        </w:tc>
        <w:tc>
          <w:tcPr>
            <w:tcW w:w="979" w:type="dxa"/>
            <w:vAlign w:val="top"/>
          </w:tcPr>
          <w:p>
            <w:pPr>
              <w:ind w:left="275"/>
              <w:spacing w:before="131"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总价</w:t>
            </w:r>
          </w:p>
        </w:tc>
        <w:tc>
          <w:tcPr>
            <w:tcW w:w="1518" w:type="dxa"/>
            <w:vAlign w:val="top"/>
          </w:tcPr>
          <w:p>
            <w:pPr>
              <w:ind w:left="337"/>
              <w:spacing w:before="143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>服务时间</w:t>
            </w:r>
          </w:p>
        </w:tc>
        <w:tc>
          <w:tcPr>
            <w:tcW w:w="1422" w:type="dxa"/>
            <w:vAlign w:val="top"/>
          </w:tcPr>
          <w:p>
            <w:pPr>
              <w:ind w:left="279"/>
              <w:spacing w:before="103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服务地点</w:t>
            </w:r>
          </w:p>
        </w:tc>
      </w:tr>
      <w:tr>
        <w:trPr>
          <w:trHeight w:val="1319" w:hRule="atLeast"/>
        </w:trPr>
        <w:tc>
          <w:tcPr>
            <w:tcW w:w="2363" w:type="dxa"/>
            <w:vAlign w:val="top"/>
          </w:tcPr>
          <w:p>
            <w:pPr>
              <w:ind w:left="125"/>
              <w:spacing w:before="218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市郊铁路璧山至铜梁线</w:t>
            </w:r>
          </w:p>
          <w:p>
            <w:pPr>
              <w:ind w:left="125"/>
              <w:spacing w:before="151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工程(全线)质量安全监</w:t>
            </w:r>
          </w:p>
          <w:p>
            <w:pPr>
              <w:ind w:left="644"/>
              <w:spacing w:before="149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督咨询服务</w:t>
            </w:r>
          </w:p>
        </w:tc>
        <w:tc>
          <w:tcPr>
            <w:tcW w:w="1468" w:type="dxa"/>
            <w:vAlign w:val="top"/>
          </w:tcPr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ind w:left="672"/>
              <w:spacing w:before="68" w:line="184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</w:rPr>
              <w:t>1</w:t>
            </w:r>
          </w:p>
        </w:tc>
        <w:tc>
          <w:tcPr>
            <w:tcW w:w="1838" w:type="dxa"/>
            <w:vAlign w:val="top"/>
          </w:tcPr>
          <w:p>
            <w:pPr>
              <w:rPr>
                <w:rFonts w:ascii="Arial"/>
                <w:sz w:val="21"/>
              </w:rPr>
            </w:pPr>
            <w:r/>
          </w:p>
        </w:tc>
        <w:tc>
          <w:tcPr>
            <w:tcW w:w="979" w:type="dxa"/>
            <w:vAlign w:val="top"/>
          </w:tcPr>
          <w:p>
            <w:pPr>
              <w:spacing w:line="270" w:lineRule="auto"/>
              <w:rPr>
                <w:rFonts w:ascii="Arial"/>
                <w:sz w:val="21"/>
              </w:rPr>
            </w:pPr>
            <w:r/>
          </w:p>
          <w:p>
            <w:pPr>
              <w:spacing w:line="271" w:lineRule="auto"/>
              <w:rPr>
                <w:rFonts w:ascii="Arial"/>
                <w:sz w:val="21"/>
              </w:rPr>
            </w:pPr>
            <w:r/>
          </w:p>
          <w:p>
            <w:pPr>
              <w:ind w:left="166"/>
              <w:spacing w:before="68" w:line="183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2"/>
              </w:rPr>
              <w:t>786000</w:t>
            </w:r>
          </w:p>
        </w:tc>
        <w:tc>
          <w:tcPr>
            <w:tcW w:w="1518" w:type="dxa"/>
            <w:vAlign w:val="top"/>
          </w:tcPr>
          <w:p>
            <w:pPr>
              <w:ind w:left="67"/>
              <w:spacing w:before="218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1年，从合同签</w:t>
            </w:r>
          </w:p>
          <w:p>
            <w:pPr>
              <w:ind w:left="127"/>
              <w:spacing w:before="141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订之日起开始</w:t>
            </w:r>
          </w:p>
          <w:p>
            <w:pPr>
              <w:ind w:left="547"/>
              <w:spacing w:before="129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计算</w:t>
            </w:r>
          </w:p>
        </w:tc>
        <w:tc>
          <w:tcPr>
            <w:tcW w:w="1422" w:type="dxa"/>
            <w:vAlign w:val="top"/>
          </w:tcPr>
          <w:p>
            <w:pPr>
              <w:ind w:left="179" w:right="168"/>
              <w:spacing w:before="217" w:line="348" w:lineRule="auto"/>
              <w:jc w:val="both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市郊铁路璧</w:t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山至铜梁线</w:t>
            </w:r>
          </w:p>
          <w:p>
            <w:pPr>
              <w:ind w:left="179"/>
              <w:spacing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>工程(全线)</w:t>
            </w:r>
          </w:p>
        </w:tc>
      </w:tr>
      <w:tr>
        <w:trPr>
          <w:trHeight w:val="469" w:hRule="atLeast"/>
        </w:trPr>
        <w:tc>
          <w:tcPr>
            <w:tcW w:w="9588" w:type="dxa"/>
            <w:vAlign w:val="top"/>
            <w:gridSpan w:val="6"/>
          </w:tcPr>
          <w:p>
            <w:pPr>
              <w:ind w:left="115"/>
              <w:spacing w:before="128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0"/>
              </w:rPr>
              <w:t>合计人民币(小写):786000元</w:t>
            </w:r>
          </w:p>
        </w:tc>
      </w:tr>
      <w:tr>
        <w:trPr>
          <w:trHeight w:val="529" w:hRule="atLeast"/>
        </w:trPr>
        <w:tc>
          <w:tcPr>
            <w:tcW w:w="9588" w:type="dxa"/>
            <w:vAlign w:val="top"/>
            <w:gridSpan w:val="6"/>
          </w:tcPr>
          <w:p>
            <w:pPr>
              <w:ind w:left="118"/>
              <w:spacing w:before="156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b/>
                <w:bCs/>
                <w:spacing w:val="13"/>
              </w:rPr>
              <w:t>合计人民币(大写):柒拾捌万陆仟元正</w:t>
            </w:r>
          </w:p>
        </w:tc>
      </w:tr>
      <w:tr>
        <w:trPr>
          <w:trHeight w:val="8147" w:hRule="atLeast"/>
        </w:trPr>
        <w:tc>
          <w:tcPr>
            <w:tcW w:w="9588" w:type="dxa"/>
            <w:vAlign w:val="top"/>
            <w:gridSpan w:val="6"/>
          </w:tcPr>
          <w:p>
            <w:pPr>
              <w:spacing w:line="371" w:lineRule="auto"/>
              <w:rPr>
                <w:rFonts w:ascii="Arial"/>
                <w:sz w:val="21"/>
              </w:rPr>
            </w:pPr>
            <w:r/>
          </w:p>
          <w:p>
            <w:pPr>
              <w:ind w:left="115"/>
              <w:spacing w:before="68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>一</w:t>
            </w:r>
            <w:r>
              <w:rPr>
                <w:rFonts w:ascii="SimSun" w:hAnsi="SimSun" w:eastAsia="SimSun" w:cs="SimSun"/>
                <w:sz w:val="21"/>
                <w:szCs w:val="21"/>
                <w:spacing w:val="-50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>、服务要求：</w:t>
            </w:r>
          </w:p>
          <w:p>
            <w:pPr>
              <w:ind w:left="115" w:firstLine="399"/>
              <w:spacing w:before="149" w:line="381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1、服务内容包括：参与或审核项目图纸绘审、风险识别，参与重要技术问题和方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案审查，根据需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要参与方案论证：参与安全质量管理巡检、参与关键节点管理、参与首件验收；参与复杂技术问题、质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量问题、地质问题施工技术研究；参与质量问题、质量事故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处理和应急处置；参与重大安全隐患、安全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4"/>
              </w:rPr>
              <w:t>事故处理和应急处置；参与应急处理(应急救援);形成安全、质量服务记录与总结，提出管理优</w:t>
            </w:r>
            <w:r>
              <w:rPr>
                <w:rFonts w:ascii="SimSun" w:hAnsi="SimSun" w:eastAsia="SimSun" w:cs="SimSun"/>
                <w:sz w:val="20"/>
                <w:szCs w:val="20"/>
                <w:spacing w:val="13"/>
              </w:rPr>
              <w:t>化建</w:t>
            </w:r>
          </w:p>
          <w:p>
            <w:pPr>
              <w:ind w:left="115"/>
              <w:spacing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29"/>
              </w:rPr>
              <w:t>议意见</w:t>
            </w:r>
            <w:r>
              <w:rPr>
                <w:rFonts w:ascii="SimSun" w:hAnsi="SimSun" w:eastAsia="SimSun" w:cs="SimSun"/>
                <w:sz w:val="20"/>
                <w:szCs w:val="20"/>
                <w:spacing w:val="-5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29"/>
              </w:rPr>
              <w:t>。</w:t>
            </w:r>
          </w:p>
          <w:p>
            <w:pPr>
              <w:ind w:left="115" w:right="5" w:firstLine="390"/>
              <w:spacing w:before="151" w:line="355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6"/>
              </w:rPr>
              <w:t>2、服务方式：根据工作内容和工作计划，乙方主要采取派遣专家(含社会专家)到现场服务的方</w:t>
            </w:r>
            <w:r>
              <w:rPr>
                <w:rFonts w:ascii="SimSun" w:hAnsi="SimSun" w:eastAsia="SimSun" w:cs="SimSun"/>
                <w:sz w:val="21"/>
                <w:szCs w:val="21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式。设一名专职联络人员、</w:t>
            </w:r>
            <w:r>
              <w:rPr>
                <w:rFonts w:ascii="SimSun" w:hAnsi="SimSun" w:eastAsia="SimSun" w:cs="SimSun"/>
                <w:sz w:val="21"/>
                <w:szCs w:val="21"/>
                <w:spacing w:val="42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一名专业监理工程师，协调工作安排和专家调配，并为其配备一</w:t>
            </w:r>
            <w:r>
              <w:rPr>
                <w:rFonts w:ascii="SimSun" w:hAnsi="SimSun" w:eastAsia="SimSun" w:cs="SimSun"/>
                <w:sz w:val="21"/>
                <w:szCs w:val="21"/>
                <w:spacing w:val="-4"/>
              </w:rPr>
              <w:t>辆性能良好</w:t>
            </w:r>
            <w:r>
              <w:rPr>
                <w:rFonts w:ascii="SimSun" w:hAnsi="SimSun" w:eastAsia="SimSun" w:cs="SimSun"/>
                <w:sz w:val="21"/>
                <w:szCs w:val="21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的越野车(油费、过路费、维修费等一切费用由乙方承担),并配备专职司机一人。联络员提前通知专</w:t>
            </w:r>
          </w:p>
          <w:p>
            <w:pPr>
              <w:ind w:left="115"/>
              <w:spacing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5"/>
              </w:rPr>
              <w:t>家，专家一般自行到现场，进行咨询服务。</w:t>
            </w:r>
          </w:p>
          <w:p>
            <w:pPr>
              <w:ind w:left="115" w:right="133" w:firstLine="400"/>
              <w:spacing w:before="161" w:line="36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7"/>
              </w:rPr>
              <w:t>3、安全质量管理工作小组工作开展内容(包括但不限于):巡检、分部分项关键节点检查、首件</w:t>
            </w:r>
            <w:r>
              <w:rPr>
                <w:rFonts w:ascii="SimSun" w:hAnsi="SimSun" w:eastAsia="SimSun" w:cs="SimSun"/>
                <w:sz w:val="21"/>
                <w:szCs w:val="21"/>
                <w:spacing w:val="17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</w:rPr>
              <w:t>(分部分项)验收、临时增加的重要节点检查。应根据项目的质量、安全受控情况增加检查次数，每检</w:t>
            </w:r>
          </w:p>
          <w:p>
            <w:pPr>
              <w:ind w:left="115"/>
              <w:spacing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查一次应对整改情况进行跟踪复查。每个工作面每月应全覆盖检查、复查完一次。</w:t>
            </w:r>
          </w:p>
          <w:p>
            <w:pPr>
              <w:ind w:left="515"/>
              <w:spacing w:before="161" w:line="398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  <w:position w:val="14"/>
              </w:rPr>
              <w:t>4、乙方项目负责人全面负责工作开展，联络员负责工地施工情况资料收集和检查工作联系安排，</w:t>
            </w:r>
          </w:p>
          <w:p>
            <w:pPr>
              <w:ind w:left="115"/>
              <w:spacing w:before="1" w:line="217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4"/>
              </w:rPr>
              <w:t>检查后收集专家意见，按要求汇总整理后及时发出检</w:t>
            </w:r>
            <w:r>
              <w:rPr>
                <w:rFonts w:ascii="SimSun" w:hAnsi="SimSun" w:eastAsia="SimSun" w:cs="SimSun"/>
                <w:sz w:val="21"/>
                <w:szCs w:val="21"/>
                <w:spacing w:val="3"/>
              </w:rPr>
              <w:t>查报告。</w:t>
            </w:r>
          </w:p>
          <w:p>
            <w:pPr>
              <w:ind w:left="521"/>
              <w:spacing w:before="153" w:line="421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  <w:position w:val="16"/>
              </w:rPr>
              <w:t>5、联络员、专业监理工程师、驾驶员须常驻甲方单位办公，且不能兼任，甲方为其提供办公场地，</w:t>
            </w:r>
          </w:p>
          <w:p>
            <w:pPr>
              <w:ind w:left="115"/>
              <w:spacing w:before="1" w:line="22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5"/>
              </w:rPr>
              <w:t>并无条件服从甲方的工作安排。</w:t>
            </w:r>
          </w:p>
        </w:tc>
      </w:tr>
    </w:tbl>
    <w:p>
      <w:pPr>
        <w:rPr>
          <w:rFonts w:ascii="Arial"/>
          <w:sz w:val="21"/>
        </w:rPr>
      </w:pPr>
      <w:r/>
    </w:p>
    <w:p>
      <w:pPr>
        <w:sectPr>
          <w:footerReference w:type="default" r:id="rId1"/>
          <w:pgSz w:w="11920" w:h="16900"/>
          <w:pgMar w:top="1276" w:right="130" w:bottom="1268" w:left="1264" w:header="0" w:footer="1129" w:gutter="0"/>
        </w:sectPr>
        <w:rPr/>
      </w:pPr>
    </w:p>
    <w:tbl>
      <w:tblPr>
        <w:tblStyle w:val="2"/>
        <w:tblW w:w="9589" w:type="dxa"/>
        <w:tblInd w:w="5" w:type="dxa"/>
        <w:tblLayout w:type="fixed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</w:tblPr>
      <w:tblGrid>
        <w:gridCol w:w="9589"/>
      </w:tblGrid>
      <w:tr>
        <w:trPr>
          <w:trHeight w:val="5441" w:hRule="atLeast"/>
        </w:trPr>
        <w:tc>
          <w:tcPr>
            <w:tcW w:w="9589" w:type="dxa"/>
            <w:vAlign w:val="top"/>
          </w:tcPr>
          <w:p>
            <w:pPr>
              <w:spacing w:line="376" w:lineRule="auto"/>
              <w:rPr>
                <w:rFonts w:ascii="Arial"/>
                <w:sz w:val="21"/>
              </w:rPr>
            </w:pPr>
            <w:r>
              <w:drawing>
                <wp:anchor distT="0" distB="0" distL="0" distR="0" simplePos="0" relativeHeight="251660288" behindDoc="0" locked="0" layoutInCell="0" allowOverlap="1">
                  <wp:simplePos x="0" y="0"/>
                  <wp:positionH relativeFrom="page">
                    <wp:posOffset>6769135</wp:posOffset>
                  </wp:positionH>
                  <wp:positionV relativeFrom="page">
                    <wp:posOffset>8439144</wp:posOffset>
                  </wp:positionV>
                  <wp:extent cx="679411" cy="1549413"/>
                  <wp:effectExtent l="0" t="0" r="0" b="0"/>
                  <wp:wrapNone/>
                  <wp:docPr id="2" name="IM 2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2" name="IM 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679411" cy="15494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/>
          </w:p>
          <w:p>
            <w:pPr>
              <w:ind w:left="114" w:right="114" w:firstLine="410"/>
              <w:spacing w:before="65" w:line="37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6、乙方应接受甲方对本项目实施的全程质量、安全检查与监督，必须与甲方紧密配合，准确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把握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需求并快速响应用户需求，并以用户最终确认的内容和要求为准。乙方所提交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的成果必须经过严格的论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证、通过甲方确认。如与需求不符、违背，乙方必须无条件的整改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。乙方必须按照行业专家及甲方提出</w:t>
            </w:r>
          </w:p>
          <w:p>
            <w:pPr>
              <w:ind w:left="114"/>
              <w:spacing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的意见在合同约定的时间内，并在充分调研的基础上继续进行深化，保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障项目通过项目评审和验收。</w:t>
            </w:r>
          </w:p>
          <w:p>
            <w:pPr>
              <w:ind w:left="114" w:right="64" w:firstLine="410"/>
              <w:spacing w:before="161" w:line="382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7、乙方项目配备的工作人员应配备专业技术工具，应有从事类似服务项目经验，服装统一整齐、</w:t>
            </w:r>
            <w:r>
              <w:rPr>
                <w:rFonts w:ascii="SimSun" w:hAnsi="SimSun" w:eastAsia="SimSun" w:cs="SimSun"/>
                <w:sz w:val="20"/>
                <w:szCs w:val="20"/>
                <w:spacing w:val="6"/>
              </w:rPr>
              <w:t xml:space="preserve">  </w:t>
            </w:r>
            <w:r>
              <w:rPr>
                <w:rFonts w:ascii="SimSun" w:hAnsi="SimSun" w:eastAsia="SimSun" w:cs="SimSun"/>
                <w:sz w:val="20"/>
                <w:szCs w:val="20"/>
                <w:spacing w:val="4"/>
              </w:rPr>
              <w:t>洁净，文明工作，不违反甲方单位安全、卫生等管理制度。作息时间符合甲方制度规定，不得随意加班，</w:t>
            </w:r>
            <w:r>
              <w:rPr>
                <w:rFonts w:ascii="SimSun" w:hAnsi="SimSun" w:eastAsia="SimSun" w:cs="SimSun"/>
                <w:sz w:val="20"/>
                <w:szCs w:val="20"/>
                <w:spacing w:val="14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2"/>
              </w:rPr>
              <w:t>滞留，确保符合服务承诺。乙方应加强相关人员的安全教育，工作期间相关人</w:t>
            </w: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员(包括专家)人身安全</w:t>
            </w:r>
          </w:p>
          <w:p>
            <w:pPr>
              <w:ind w:left="114"/>
              <w:spacing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事故责任均由乙方承担。经征得甲方同意，乙方可根据实际情况调整更换项目配备的工作人员。</w:t>
            </w:r>
          </w:p>
          <w:p>
            <w:pPr>
              <w:ind w:left="114" w:right="123" w:firstLine="400"/>
              <w:spacing w:before="162" w:line="383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8、乙方应作好项目实施资料的整理、编制工作。在项目实施时，必须根据项目实施进度提交</w:t>
            </w:r>
            <w:r>
              <w:rPr>
                <w:rFonts w:ascii="SimSun" w:hAnsi="SimSun" w:eastAsia="SimSun" w:cs="SimSun"/>
                <w:sz w:val="20"/>
                <w:szCs w:val="20"/>
                <w:spacing w:val="9"/>
              </w:rPr>
              <w:t>相应</w:t>
            </w:r>
            <w:r>
              <w:rPr>
                <w:rFonts w:ascii="SimSun" w:hAnsi="SimSun" w:eastAsia="SimSun" w:cs="SimSun"/>
                <w:sz w:val="20"/>
                <w:szCs w:val="20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的阶段性文档。项目完工时将系统的全部有关技术文件、</w:t>
            </w: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资料等文档汇集成册交付甲方，并对准确性负</w:t>
            </w:r>
          </w:p>
          <w:p>
            <w:pPr>
              <w:ind w:left="114"/>
              <w:spacing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责。甲方认为需要相应专家到现场指导，乙方应无条件配合。</w:t>
            </w:r>
          </w:p>
          <w:p>
            <w:pPr>
              <w:ind w:left="504"/>
              <w:spacing w:before="172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9、甲方有权要求乙方更换不符合条件或者履职不到位的质量、安全专家。</w:t>
            </w:r>
          </w:p>
        </w:tc>
      </w:tr>
      <w:tr>
        <w:trPr>
          <w:trHeight w:val="2248" w:hRule="atLeast"/>
        </w:trPr>
        <w:tc>
          <w:tcPr>
            <w:tcW w:w="9589" w:type="dxa"/>
            <w:vAlign w:val="top"/>
          </w:tcPr>
          <w:p>
            <w:pPr>
              <w:ind w:left="114"/>
              <w:spacing w:before="282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4"/>
              </w:rPr>
              <w:t>二、考核方式：</w:t>
            </w:r>
          </w:p>
          <w:p>
            <w:pPr>
              <w:ind w:left="524"/>
              <w:spacing w:before="142" w:line="390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drawing>
                <wp:anchor distT="0" distB="0" distL="0" distR="0" simplePos="0" relativeHeight="251659264" behindDoc="0" locked="0" layoutInCell="1" allowOverlap="1">
                  <wp:simplePos x="0" y="0"/>
                  <wp:positionH relativeFrom="column">
                    <wp:posOffset>5864166</wp:posOffset>
                  </wp:positionH>
                  <wp:positionV relativeFrom="paragraph">
                    <wp:posOffset>-295641</wp:posOffset>
                  </wp:positionV>
                  <wp:extent cx="838213" cy="1498653"/>
                  <wp:effectExtent l="0" t="0" r="0" b="0"/>
                  <wp:wrapNone/>
                  <wp:docPr id="3" name="IM 3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3" name="IM 3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838213" cy="14986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20"/>
                <w:szCs w:val="20"/>
                <w:spacing w:val="14"/>
                <w:position w:val="14"/>
              </w:rPr>
              <w:t>项目施工过程中，乙方出现对项目(含项目重大复杂技术问题和方案</w:t>
            </w:r>
            <w:r>
              <w:rPr>
                <w:rFonts w:ascii="SimSun" w:hAnsi="SimSun" w:eastAsia="SimSun" w:cs="SimSun"/>
                <w:sz w:val="20"/>
                <w:szCs w:val="20"/>
                <w:spacing w:val="13"/>
                <w:position w:val="14"/>
              </w:rPr>
              <w:t>等)安全质量风险识别、安全</w:t>
            </w:r>
          </w:p>
          <w:p>
            <w:pPr>
              <w:ind w:left="114"/>
              <w:spacing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质量管理巡查以及应急处置等工作不到位，发生事故的，惩罚如下：</w:t>
            </w:r>
          </w:p>
          <w:p>
            <w:pPr>
              <w:ind w:left="524"/>
              <w:spacing w:before="161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0"/>
              </w:rPr>
              <w:t>1、每发生一起一般质量安全事故的，在本季度或者下一季度支付款中扣除2万元人民币；</w:t>
            </w:r>
          </w:p>
          <w:p>
            <w:pPr>
              <w:ind w:left="504"/>
              <w:spacing w:before="162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2、每发生一起较大及以上质量安全事故的，在本季度或者下一季度支付款中扣除5万元人民币。</w:t>
            </w:r>
          </w:p>
        </w:tc>
      </w:tr>
      <w:tr>
        <w:trPr>
          <w:trHeight w:val="1828" w:hRule="atLeast"/>
        </w:trPr>
        <w:tc>
          <w:tcPr>
            <w:tcW w:w="9589" w:type="dxa"/>
            <w:vAlign w:val="top"/>
          </w:tcPr>
          <w:p>
            <w:pPr>
              <w:ind w:left="114"/>
              <w:spacing w:before="264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4"/>
              </w:rPr>
              <w:t>三、付款方式：</w:t>
            </w:r>
          </w:p>
          <w:p>
            <w:pPr>
              <w:ind w:left="514"/>
              <w:spacing w:before="131" w:line="421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6"/>
                <w:position w:val="16"/>
              </w:rPr>
              <w:t>本项目无预付款，签订合同后每3个月凭乙方出具的正规发票支付一次，由甲方在30个工作日</w:t>
            </w:r>
            <w:r>
              <w:rPr>
                <w:rFonts w:ascii="SimSun" w:hAnsi="SimSun" w:eastAsia="SimSun" w:cs="SimSun"/>
                <w:sz w:val="20"/>
                <w:szCs w:val="20"/>
                <w:spacing w:val="15"/>
                <w:position w:val="16"/>
              </w:rPr>
              <w:t>内</w:t>
            </w:r>
          </w:p>
          <w:p>
            <w:pPr>
              <w:ind w:left="114"/>
              <w:spacing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支</w:t>
            </w:r>
            <w:r>
              <w:rPr>
                <w:rFonts w:ascii="SimSun" w:hAnsi="SimSun" w:eastAsia="SimSun" w:cs="SimSun"/>
                <w:sz w:val="20"/>
                <w:szCs w:val="20"/>
                <w:spacing w:val="-23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付</w:t>
            </w:r>
            <w:r>
              <w:rPr>
                <w:rFonts w:ascii="SimSun" w:hAnsi="SimSun" w:eastAsia="SimSun" w:cs="SimSun"/>
                <w:sz w:val="20"/>
                <w:szCs w:val="20"/>
                <w:spacing w:val="-31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6"/>
              </w:rPr>
              <w:t>。</w:t>
            </w:r>
          </w:p>
          <w:p>
            <w:pPr>
              <w:ind w:left="524"/>
              <w:spacing w:before="150" w:line="21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付款金额=签约合同价/4-应扣金额</w:t>
            </w:r>
          </w:p>
        </w:tc>
      </w:tr>
      <w:tr>
        <w:trPr>
          <w:trHeight w:val="999" w:hRule="atLeast"/>
        </w:trPr>
        <w:tc>
          <w:tcPr>
            <w:tcW w:w="9589" w:type="dxa"/>
            <w:vAlign w:val="top"/>
          </w:tcPr>
          <w:p>
            <w:pPr>
              <w:ind w:left="114"/>
              <w:spacing w:before="266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4"/>
              </w:rPr>
              <w:t>四、违约责任：</w:t>
            </w:r>
          </w:p>
          <w:p>
            <w:pPr>
              <w:ind w:left="514"/>
              <w:spacing w:before="141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</w:rPr>
              <w:t>按《中华人民共和国民法典》、《中华人民共和国政府采购法》执行。</w:t>
            </w:r>
          </w:p>
        </w:tc>
      </w:tr>
      <w:tr>
        <w:trPr>
          <w:trHeight w:val="2663" w:hRule="atLeast"/>
        </w:trPr>
        <w:tc>
          <w:tcPr>
            <w:tcW w:w="9589" w:type="dxa"/>
            <w:vAlign w:val="top"/>
          </w:tcPr>
          <w:p>
            <w:pPr>
              <w:spacing w:line="420" w:lineRule="auto"/>
              <w:rPr>
                <w:rFonts w:ascii="Arial"/>
                <w:sz w:val="21"/>
              </w:rPr>
            </w:pPr>
            <w:r/>
          </w:p>
          <w:p>
            <w:pPr>
              <w:ind w:left="114"/>
              <w:spacing w:before="65" w:line="22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1"/>
              </w:rPr>
              <w:t>五、其他约定事项：</w:t>
            </w:r>
          </w:p>
          <w:p>
            <w:pPr>
              <w:ind w:left="114"/>
              <w:spacing w:before="149" w:line="219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7"/>
              </w:rPr>
              <w:t>1.采购文件及其澄清文件、响应文件和承诺是本合同不可分割的部分。</w:t>
            </w:r>
          </w:p>
          <w:p>
            <w:pPr>
              <w:ind w:left="114"/>
              <w:spacing w:before="163" w:line="393" w:lineRule="exact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8"/>
                <w:position w:val="14"/>
              </w:rPr>
              <w:t>2.本合同如发生争议由双方协商解决，协商不成向甲方所在人民法院提请诉讼。</w:t>
            </w:r>
          </w:p>
          <w:p>
            <w:pPr>
              <w:ind w:left="114"/>
              <w:spacing w:line="218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9"/>
              </w:rPr>
              <w:t>3.本合同一式六份，甲方三</w:t>
            </w:r>
            <w:r>
              <w:rPr>
                <w:rFonts w:ascii="SimSun" w:hAnsi="SimSun" w:eastAsia="SimSun" w:cs="SimSun"/>
                <w:sz w:val="20"/>
                <w:szCs w:val="20"/>
                <w:spacing w:val="-62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9"/>
              </w:rPr>
              <w:t>份，乙方三</w:t>
            </w:r>
            <w:r>
              <w:rPr>
                <w:rFonts w:ascii="SimSun" w:hAnsi="SimSun" w:eastAsia="SimSun" w:cs="SimSun"/>
                <w:sz w:val="20"/>
                <w:szCs w:val="20"/>
                <w:spacing w:val="-76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u w:val="single" w:color="auto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-68"/>
              </w:rPr>
              <w:t xml:space="preserve"> </w:t>
            </w:r>
            <w:r>
              <w:rPr>
                <w:rFonts w:ascii="SimSun" w:hAnsi="SimSun" w:eastAsia="SimSun" w:cs="SimSun"/>
                <w:sz w:val="20"/>
                <w:szCs w:val="20"/>
                <w:spacing w:val="19"/>
              </w:rPr>
              <w:t>份，具同等法律效力。</w:t>
            </w:r>
          </w:p>
          <w:p>
            <w:pPr>
              <w:ind w:left="114"/>
              <w:spacing w:before="151" w:line="220" w:lineRule="auto"/>
              <w:rPr>
                <w:rFonts w:ascii="SimSun" w:hAnsi="SimSun" w:eastAsia="SimSun" w:cs="SimSun"/>
                <w:sz w:val="20"/>
                <w:szCs w:val="20"/>
              </w:rPr>
            </w:pPr>
            <w:r>
              <w:rPr>
                <w:rFonts w:ascii="SimSun" w:hAnsi="SimSun" w:eastAsia="SimSun" w:cs="SimSun"/>
                <w:sz w:val="20"/>
                <w:szCs w:val="20"/>
                <w:spacing w:val="18"/>
              </w:rPr>
              <w:t>4.其他：无</w:t>
            </w:r>
          </w:p>
        </w:tc>
      </w:tr>
    </w:tbl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left="4784"/>
        <w:spacing w:before="45" w:line="183" w:lineRule="auto"/>
        <w:rPr>
          <w:rFonts w:ascii="SimSun" w:hAnsi="SimSun" w:eastAsia="SimSun" w:cs="SimSun"/>
          <w:sz w:val="14"/>
          <w:szCs w:val="14"/>
        </w:rPr>
      </w:pPr>
      <w:r>
        <w:rPr>
          <w:rFonts w:ascii="SimSun" w:hAnsi="SimSun" w:eastAsia="SimSun" w:cs="SimSun"/>
          <w:sz w:val="14"/>
          <w:szCs w:val="14"/>
        </w:rPr>
        <w:t>2</w:t>
      </w:r>
    </w:p>
    <w:p>
      <w:pPr>
        <w:sectPr>
          <w:footerReference w:type="default" r:id="rId3"/>
          <w:pgSz w:w="11920" w:h="16900"/>
          <w:pgMar w:top="1375" w:right="120" w:bottom="400" w:left="1235" w:header="0" w:footer="0" w:gutter="0"/>
        </w:sectPr>
        <w:rPr/>
      </w:pPr>
    </w:p>
    <w:p>
      <w:pPr>
        <w:rPr/>
      </w:pPr>
      <w:r>
        <w:drawing>
          <wp:anchor distT="0" distB="0" distL="0" distR="0" simplePos="0" relativeHeight="251663360" behindDoc="0" locked="0" layoutInCell="0" allowOverlap="1">
            <wp:simplePos x="0" y="0"/>
            <wp:positionH relativeFrom="page">
              <wp:posOffset>1454119</wp:posOffset>
            </wp:positionH>
            <wp:positionV relativeFrom="page">
              <wp:posOffset>1657340</wp:posOffset>
            </wp:positionV>
            <wp:extent cx="1543057" cy="1504919"/>
            <wp:effectExtent l="0" t="0" r="0" b="0"/>
            <wp:wrapNone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43057" cy="15049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62336" behindDoc="0" locked="0" layoutInCell="0" allowOverlap="1">
            <wp:simplePos x="0" y="0"/>
            <wp:positionH relativeFrom="page">
              <wp:posOffset>1879583</wp:posOffset>
            </wp:positionH>
            <wp:positionV relativeFrom="page">
              <wp:posOffset>2063798</wp:posOffset>
            </wp:positionV>
            <wp:extent cx="692203" cy="457156"/>
            <wp:effectExtent l="0" t="0" r="0" b="0"/>
            <wp:wrapNone/>
            <wp:docPr id="5" name="IM 5"/>
            <wp:cNvGraphicFramePr/>
            <a:graphic>
              <a:graphicData uri="http://schemas.openxmlformats.org/drawingml/2006/picture">
                <pic:pic>
                  <pic:nvPicPr>
                    <pic:cNvPr id="5" name="IM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92203" cy="4571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pict>
          <v:shape id="_x0000_s1" style="position:absolute;margin-left:60.2512pt;margin-top:66.2531pt;mso-position-vertical-relative:page;mso-position-horizontal-relative:page;width:234pt;height:199.05pt;z-index:-251655168;" o:allowincell="f" filled="false" stroked="false" type="#_x0000_t202">
            <v:fill on="false"/>
            <v:stroke on="false"/>
            <v:path/>
            <v:imagedata o:title=""/>
            <o:lock v:ext="edit" aspectratio="false"/>
            <v:textbox inset="0mm,0mm,0mm,0mm">
              <w:txbxContent>
                <w:p>
                  <w:pPr>
                    <w:spacing w:line="20" w:lineRule="exact"/>
                    <w:rPr/>
                  </w:pPr>
                  <w:r/>
                </w:p>
                <w:tbl>
                  <w:tblPr>
                    <w:tblStyle w:val="2"/>
                    <w:tblW w:w="4629" w:type="dxa"/>
                    <w:tblInd w:w="25" w:type="dxa"/>
                    <w:tblLayout w:type="fixed"/>
                    <w:tblBorders>
                      <w:top w:val="single" w:color="000000" w:sz="4" w:space="0"/>
                      <w:left w:val="single" w:color="000000" w:sz="4" w:space="0"/>
                      <w:bottom w:val="single" w:color="000000" w:sz="4" w:space="0"/>
                      <w:right w:val="single" w:color="000000" w:sz="4" w:space="0"/>
                      <w:insideH w:val="single" w:color="000000" w:sz="4" w:space="0"/>
                      <w:insideV w:val="single" w:color="000000" w:sz="4" w:space="0"/>
                    </w:tblBorders>
                  </w:tblPr>
                  <w:tblGrid>
                    <w:gridCol w:w="4629"/>
                  </w:tblGrid>
                  <w:tr>
                    <w:trPr>
                      <w:trHeight w:val="1191" w:hRule="atLeast"/>
                    </w:trPr>
                    <w:tc>
                      <w:tcPr>
                        <w:tcW w:w="4629" w:type="dxa"/>
                        <w:vAlign w:val="top"/>
                        <w:tcBorders>
                          <w:bottom w:val="none" w:color="000000" w:sz="8" w:space="0"/>
                        </w:tcBorders>
                      </w:tcPr>
                      <w:p>
                        <w:pPr>
                          <w:spacing w:line="442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left="105"/>
                          <w:spacing w:before="68" w:line="410" w:lineRule="exact"/>
                          <w:rPr>
                            <w:rFonts w:ascii="SimSun" w:hAnsi="SimSun" w:eastAsia="SimSun" w:cs="SimSu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1"/>
                            <w:szCs w:val="21"/>
                            <w:position w:val="15"/>
                          </w:rPr>
                          <w:t>需方：重庆市铜梁区建筑工程质量安全管理</w:t>
                        </w:r>
                      </w:p>
                      <w:p>
                        <w:pPr>
                          <w:ind w:left="724"/>
                          <w:spacing w:line="219" w:lineRule="auto"/>
                          <w:rPr>
                            <w:rFonts w:ascii="SimSun" w:hAnsi="SimSun" w:eastAsia="SimSun" w:cs="SimSu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1"/>
                            <w:szCs w:val="21"/>
                            <w:spacing w:val="3"/>
                          </w:rPr>
                          <w:t>事务中心</w:t>
                        </w:r>
                      </w:p>
                    </w:tc>
                  </w:tr>
                  <w:tr>
                    <w:trPr>
                      <w:trHeight w:val="2729" w:hRule="atLeast"/>
                    </w:trPr>
                    <w:tc>
                      <w:tcPr>
                        <w:tcW w:w="4629" w:type="dxa"/>
                        <w:vAlign w:val="top"/>
                        <w:tcBorders>
                          <w:top w:val="none" w:color="000000" w:sz="8" w:space="0"/>
                        </w:tcBorders>
                      </w:tcPr>
                      <w:p>
                        <w:pPr>
                          <w:ind w:left="105"/>
                          <w:spacing w:before="142" w:line="229" w:lineRule="auto"/>
                          <w:rPr>
                            <w:rFonts w:ascii="SimSun" w:hAnsi="SimSun" w:eastAsia="SimSun" w:cs="SimSu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1"/>
                            <w:szCs w:val="21"/>
                            <w:spacing w:val="-6"/>
                          </w:rPr>
                          <w:t>地</w:t>
                        </w:r>
                        <w:r>
                          <w:rPr>
                            <w:rFonts w:ascii="SimSun" w:hAnsi="SimSun" w:eastAsia="SimSun" w:cs="SimSun"/>
                            <w:sz w:val="21"/>
                            <w:szCs w:val="21"/>
                            <w:spacing w:val="-16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21"/>
                            <w:szCs w:val="21"/>
                            <w:spacing w:val="-6"/>
                          </w:rPr>
                          <w:t>址</w:t>
                        </w:r>
                        <w:r>
                          <w:rPr>
                            <w:rFonts w:ascii="SimSun" w:hAnsi="SimSun" w:eastAsia="SimSun" w:cs="SimSun"/>
                            <w:sz w:val="21"/>
                            <w:szCs w:val="21"/>
                            <w:spacing w:val="-24"/>
                          </w:rPr>
                          <w:t xml:space="preserve"> </w:t>
                        </w:r>
                        <w:r>
                          <w:rPr>
                            <w:rFonts w:ascii="SimSun" w:hAnsi="SimSun" w:eastAsia="SimSun" w:cs="SimSun"/>
                            <w:sz w:val="21"/>
                            <w:szCs w:val="21"/>
                            <w:spacing w:val="-6"/>
                          </w:rPr>
                          <w:t>：</w:t>
                        </w:r>
                      </w:p>
                      <w:p>
                        <w:pPr>
                          <w:ind w:left="105"/>
                          <w:spacing w:before="141" w:line="407" w:lineRule="exact"/>
                          <w:rPr>
                            <w:rFonts w:ascii="SimSun" w:hAnsi="SimSun" w:eastAsia="SimSun" w:cs="SimSu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1"/>
                            <w:szCs w:val="21"/>
                            <w:spacing w:val="20"/>
                            <w:position w:val="14"/>
                          </w:rPr>
                          <w:t>联系电话：</w:t>
                        </w:r>
                      </w:p>
                      <w:p>
                        <w:pPr>
                          <w:ind w:left="105"/>
                          <w:spacing w:line="219" w:lineRule="auto"/>
                          <w:rPr>
                            <w:rFonts w:ascii="SimSun" w:hAnsi="SimSun" w:eastAsia="SimSun" w:cs="SimSu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SimSun" w:hAnsi="SimSun" w:eastAsia="SimSun" w:cs="SimSun"/>
                            <w:sz w:val="21"/>
                            <w:szCs w:val="21"/>
                            <w:spacing w:val="20"/>
                          </w:rPr>
                          <w:t>授权代表：</w:t>
                        </w:r>
                      </w:p>
                      <w:p>
                        <w:pPr>
                          <w:spacing w:line="250" w:lineRule="auto"/>
                          <w:rPr>
                            <w:rFonts w:ascii="Arial"/>
                            <w:sz w:val="21"/>
                          </w:rPr>
                        </w:pPr>
                        <w:r/>
                      </w:p>
                      <w:p>
                        <w:pPr>
                          <w:ind w:firstLine="555"/>
                          <w:spacing w:line="790" w:lineRule="exact"/>
                          <w:textAlignment w:val="center"/>
                          <w:rPr/>
                        </w:pPr>
                        <w:r>
                          <w:drawing>
                            <wp:inline distT="0" distB="0" distL="0" distR="0">
                              <wp:extent cx="1549415" cy="501639"/>
                              <wp:effectExtent l="0" t="0" r="0" b="0"/>
                              <wp:docPr id="6" name="IM 6"/>
                              <wp:cNvGraphicFramePr/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6" name="IM 6"/>
                                      <pic:cNvPicPr/>
                                    </pic:nvPicPr>
                                    <pic:blipFill>
                                      <a:blip r:embed="rId9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 rot="0">
                                        <a:off x="0" y="0"/>
                                        <a:ext cx="1549415" cy="501639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rPr>
                      <w:rFonts w:ascii="Arial"/>
                      <w:sz w:val="21"/>
                    </w:rPr>
                  </w:pPr>
                  <w:r/>
                </w:p>
              </w:txbxContent>
            </v:textbox>
          </v:shape>
        </w:pict>
      </w:r>
      <w:r>
        <w:drawing>
          <wp:anchor distT="0" distB="0" distL="0" distR="0" simplePos="0" relativeHeight="251664384" behindDoc="0" locked="0" layoutInCell="0" allowOverlap="1">
            <wp:simplePos x="0" y="0"/>
            <wp:positionH relativeFrom="page">
              <wp:posOffset>6750060</wp:posOffset>
            </wp:positionH>
            <wp:positionV relativeFrom="page">
              <wp:posOffset>3968743</wp:posOffset>
            </wp:positionV>
            <wp:extent cx="495252" cy="1327201"/>
            <wp:effectExtent l="0" t="0" r="0" b="0"/>
            <wp:wrapNone/>
            <wp:docPr id="7" name="IM 7"/>
            <wp:cNvGraphicFramePr/>
            <a:graphic>
              <a:graphicData uri="http://schemas.openxmlformats.org/drawingml/2006/picture">
                <pic:pic>
                  <pic:nvPicPr>
                    <pic:cNvPr id="7" name="IM 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95252" cy="132720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rPr/>
      </w:pPr>
      <w:r/>
    </w:p>
    <w:p>
      <w:pPr>
        <w:spacing w:line="52" w:lineRule="exact"/>
        <w:rPr/>
      </w:pPr>
      <w:r/>
    </w:p>
    <w:tbl>
      <w:tblPr>
        <w:tblStyle w:val="2"/>
        <w:tblW w:w="4980" w:type="dxa"/>
        <w:tblInd w:w="4634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4980"/>
      </w:tblGrid>
      <w:tr>
        <w:trPr>
          <w:trHeight w:val="3915" w:hRule="atLeast"/>
        </w:trPr>
        <w:tc>
          <w:tcPr>
            <w:tcW w:w="4980" w:type="dxa"/>
            <w:vAlign w:val="top"/>
          </w:tcPr>
          <w:p>
            <w:pPr>
              <w:spacing w:line="421" w:lineRule="auto"/>
              <w:rPr>
                <w:rFonts w:ascii="Arial"/>
                <w:sz w:val="21"/>
              </w:rPr>
            </w:pPr>
            <w:r/>
          </w:p>
          <w:p>
            <w:pPr>
              <w:ind w:left="125"/>
              <w:spacing w:before="68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drawing>
                <wp:anchor distT="0" distB="0" distL="0" distR="0" simplePos="0" relativeHeight="251666432" behindDoc="0" locked="0" layoutInCell="1" allowOverlap="1">
                  <wp:simplePos x="0" y="0"/>
                  <wp:positionH relativeFrom="column">
                    <wp:posOffset>492152</wp:posOffset>
                  </wp:positionH>
                  <wp:positionV relativeFrom="paragraph">
                    <wp:posOffset>-615331</wp:posOffset>
                  </wp:positionV>
                  <wp:extent cx="1549339" cy="1542971"/>
                  <wp:effectExtent l="0" t="0" r="0" b="0"/>
                  <wp:wrapNone/>
                  <wp:docPr id="8" name="IM 8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8" name="IM 8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1549339" cy="15429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供方：中科三正建设集团有限公司</w:t>
            </w:r>
          </w:p>
          <w:p>
            <w:pPr>
              <w:ind w:left="125"/>
              <w:spacing w:before="202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1"/>
              </w:rPr>
              <w:t>地址：成都金牛高新技术产园区</w:t>
            </w:r>
          </w:p>
          <w:p>
            <w:pPr>
              <w:ind w:left="125"/>
              <w:spacing w:before="123" w:line="417" w:lineRule="exact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position w:val="15"/>
              </w:rPr>
              <w:t>电话：023-45660289</w:t>
            </w:r>
          </w:p>
          <w:p>
            <w:pPr>
              <w:ind w:left="125"/>
              <w:spacing w:line="218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传</w:t>
            </w:r>
            <w:r>
              <w:rPr>
                <w:rFonts w:ascii="SimSun" w:hAnsi="SimSun" w:eastAsia="SimSun" w:cs="SimSun"/>
                <w:sz w:val="21"/>
                <w:szCs w:val="21"/>
                <w:spacing w:val="-1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真</w:t>
            </w:r>
            <w:r>
              <w:rPr>
                <w:rFonts w:ascii="SimSun" w:hAnsi="SimSun" w:eastAsia="SimSun" w:cs="SimSun"/>
                <w:sz w:val="21"/>
                <w:szCs w:val="21"/>
                <w:spacing w:val="-25"/>
              </w:rPr>
              <w:t xml:space="preserve"> </w:t>
            </w:r>
            <w:r>
              <w:rPr>
                <w:rFonts w:ascii="SimSun" w:hAnsi="SimSun" w:eastAsia="SimSun" w:cs="SimSun"/>
                <w:sz w:val="21"/>
                <w:szCs w:val="21"/>
                <w:spacing w:val="-6"/>
              </w:rPr>
              <w:t>：</w:t>
            </w:r>
          </w:p>
          <w:p>
            <w:pPr>
              <w:ind w:left="125"/>
              <w:spacing w:before="152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1"/>
              </w:rPr>
              <w:t>开户银行：中国建设银行股份有限公司成都蜀西支行</w:t>
            </w:r>
          </w:p>
          <w:p>
            <w:pPr>
              <w:ind w:left="125"/>
              <w:spacing w:before="151" w:line="221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drawing>
                <wp:anchor distT="0" distB="0" distL="0" distR="0" simplePos="0" relativeHeight="251665408" behindDoc="0" locked="0" layoutInCell="1" allowOverlap="1">
                  <wp:simplePos x="0" y="0"/>
                  <wp:positionH relativeFrom="column">
                    <wp:posOffset>581014</wp:posOffset>
                  </wp:positionH>
                  <wp:positionV relativeFrom="paragraph">
                    <wp:posOffset>20232</wp:posOffset>
                  </wp:positionV>
                  <wp:extent cx="755633" cy="755675"/>
                  <wp:effectExtent l="0" t="0" r="0" b="0"/>
                  <wp:wrapNone/>
                  <wp:docPr id="9" name="IM 9"/>
                  <wp:cNvGraphicFramePr/>
                  <a:graphic>
                    <a:graphicData uri="http://schemas.openxmlformats.org/drawingml/2006/picture">
                      <pic:pic>
                        <pic:nvPicPr>
                          <pic:cNvPr id="9" name="IM 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 rot="0">
                            <a:off x="0" y="0"/>
                            <a:ext cx="755633" cy="75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ascii="SimSun" w:hAnsi="SimSun" w:eastAsia="SimSun" w:cs="SimSun"/>
                <w:sz w:val="21"/>
                <w:szCs w:val="21"/>
              </w:rPr>
              <w:t>账号：51050110198200000656</w:t>
            </w:r>
          </w:p>
          <w:p>
            <w:pPr>
              <w:ind w:left="125"/>
              <w:spacing w:before="158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0"/>
              </w:rPr>
              <w:t>授权代表：</w:t>
            </w:r>
          </w:p>
          <w:p>
            <w:pPr>
              <w:ind w:left="125"/>
              <w:spacing w:before="159" w:line="219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2"/>
              </w:rPr>
              <w:t>(本栏请用计算机打印以便于准确付款)</w:t>
            </w:r>
          </w:p>
        </w:tc>
      </w:tr>
    </w:tbl>
    <w:tbl>
      <w:tblPr>
        <w:tblStyle w:val="2"/>
        <w:tblW w:w="9610" w:type="dxa"/>
        <w:tblInd w:w="5" w:type="dxa"/>
        <w:tblLayout w:type="fixed"/>
        <w:tblBorders>
          <w:left w:val="single" w:color="000000" w:sz="4" w:space="0"/>
          <w:bottom w:val="single" w:color="000000" w:sz="4" w:space="0"/>
          <w:right w:val="single" w:color="000000" w:sz="4" w:space="0"/>
          <w:top w:val="single" w:color="000000" w:sz="4" w:space="0"/>
        </w:tblBorders>
      </w:tblPr>
      <w:tblGrid>
        <w:gridCol w:w="9610"/>
      </w:tblGrid>
      <w:tr>
        <w:trPr>
          <w:trHeight w:val="634" w:hRule="atLeast"/>
        </w:trPr>
        <w:tc>
          <w:tcPr>
            <w:tcW w:w="9610" w:type="dxa"/>
            <w:vAlign w:val="top"/>
          </w:tcPr>
          <w:p>
            <w:pPr>
              <w:ind w:left="115"/>
              <w:spacing w:before="219" w:line="220" w:lineRule="auto"/>
              <w:rPr>
                <w:rFonts w:ascii="SimSun" w:hAnsi="SimSun" w:eastAsia="SimSun" w:cs="SimSun"/>
                <w:sz w:val="21"/>
                <w:szCs w:val="21"/>
              </w:rPr>
            </w:pPr>
            <w:r>
              <w:rPr>
                <w:rFonts w:ascii="SimSun" w:hAnsi="SimSun" w:eastAsia="SimSun" w:cs="SimSun"/>
                <w:sz w:val="21"/>
                <w:szCs w:val="21"/>
                <w:spacing w:val="-3"/>
              </w:rPr>
              <w:t>备注：无</w:t>
            </w:r>
          </w:p>
        </w:tc>
      </w:tr>
    </w:tbl>
    <w:p>
      <w:pPr>
        <w:spacing w:line="265" w:lineRule="auto"/>
        <w:rPr>
          <w:rFonts w:ascii="Arial"/>
          <w:sz w:val="21"/>
        </w:rPr>
      </w:pPr>
      <w:r/>
    </w:p>
    <w:p>
      <w:pPr>
        <w:ind w:left="115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11"/>
        </w:rPr>
        <w:t>签约时间：2021年12</w:t>
      </w:r>
      <w:r>
        <w:rPr>
          <w:rFonts w:ascii="SimSun" w:hAnsi="SimSun" w:eastAsia="SimSun" w:cs="SimSun"/>
          <w:sz w:val="24"/>
          <w:szCs w:val="24"/>
          <w:spacing w:val="-22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月</w:t>
      </w:r>
      <w:r>
        <w:rPr>
          <w:rFonts w:ascii="SimSun" w:hAnsi="SimSun" w:eastAsia="SimSun" w:cs="SimSun"/>
          <w:sz w:val="24"/>
          <w:szCs w:val="24"/>
          <w:spacing w:val="4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9</w:t>
      </w:r>
      <w:r>
        <w:rPr>
          <w:rFonts w:ascii="SimSun" w:hAnsi="SimSun" w:eastAsia="SimSun" w:cs="SimSun"/>
          <w:sz w:val="24"/>
          <w:szCs w:val="24"/>
          <w:spacing w:val="45"/>
        </w:rPr>
        <w:t xml:space="preserve"> </w:t>
      </w:r>
      <w:r>
        <w:rPr>
          <w:rFonts w:ascii="SimSun" w:hAnsi="SimSun" w:eastAsia="SimSun" w:cs="SimSun"/>
          <w:sz w:val="24"/>
          <w:szCs w:val="24"/>
          <w:spacing w:val="11"/>
        </w:rPr>
        <w:t>日</w:t>
      </w:r>
    </w:p>
    <w:p>
      <w:pPr>
        <w:spacing w:line="255" w:lineRule="auto"/>
        <w:rPr>
          <w:rFonts w:ascii="Arial"/>
          <w:sz w:val="21"/>
        </w:rPr>
      </w:pPr>
      <w:r/>
    </w:p>
    <w:p>
      <w:pPr>
        <w:ind w:left="125"/>
        <w:spacing w:before="78" w:line="219" w:lineRule="auto"/>
        <w:rPr>
          <w:rFonts w:ascii="SimSun" w:hAnsi="SimSun" w:eastAsia="SimSun" w:cs="SimSun"/>
          <w:sz w:val="24"/>
          <w:szCs w:val="24"/>
        </w:rPr>
      </w:pPr>
      <w:r>
        <w:rPr>
          <w:rFonts w:ascii="SimSun" w:hAnsi="SimSun" w:eastAsia="SimSun" w:cs="SimSun"/>
          <w:sz w:val="24"/>
          <w:szCs w:val="24"/>
          <w:spacing w:val="-1"/>
        </w:rPr>
        <w:t>签约地点：重庆市铜梁区</w:t>
      </w:r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firstLine="10124"/>
        <w:spacing w:line="2180" w:lineRule="exact"/>
        <w:textAlignment w:val="center"/>
        <w:rPr/>
      </w:pPr>
      <w:r>
        <w:drawing>
          <wp:inline distT="0" distB="0" distL="0" distR="0">
            <wp:extent cx="323886" cy="1384333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23886" cy="138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footerReference w:type="default" r:id="rId6"/>
      <w:pgSz w:w="11920" w:h="16880"/>
      <w:pgMar w:top="810" w:right="59" w:bottom="1258" w:left="1225" w:header="0" w:footer="1119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785"/>
      <w:spacing w:line="183" w:lineRule="auto"/>
      <w:rPr>
        <w:rFonts w:ascii="SimSun" w:hAnsi="SimSun" w:eastAsia="SimSun" w:cs="SimSun"/>
        <w:sz w:val="14"/>
        <w:szCs w:val="14"/>
      </w:rPr>
    </w:pPr>
    <w:r>
      <w:rPr>
        <w:rFonts w:ascii="SimSun" w:hAnsi="SimSun" w:eastAsia="SimSun" w:cs="SimSun"/>
        <w:sz w:val="14"/>
        <w:szCs w:val="14"/>
      </w:rPr>
      <w:t>1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spacing w:line="14" w:lineRule="auto"/>
      <w:rPr>
        <w:rFonts w:ascii="Arial"/>
        <w:sz w:val="2"/>
      </w:rPr>
    </w:pPr>
    <w:r/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ind w:left="4814"/>
      <w:spacing w:line="183" w:lineRule="auto"/>
      <w:rPr>
        <w:rFonts w:ascii="SimSun" w:hAnsi="SimSun" w:eastAsia="SimSun" w:cs="SimSun"/>
        <w:sz w:val="14"/>
        <w:szCs w:val="14"/>
      </w:rPr>
    </w:pPr>
    <w:r>
      <w:rPr>
        <w:rFonts w:ascii="SimSun" w:hAnsi="SimSun" w:eastAsia="SimSun" w:cs="SimSun"/>
        <w:sz w:val="14"/>
        <w:szCs w:val="14"/>
      </w:rPr>
      <w:t>3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color w:val="000000"/>
        <w:kern w:val="0"/>
        <w:snapToGrid w:val="0"/>
      </w:rPr>
    </w:rPrDefault>
  </w:docDefaults>
  <w:style w:type="paragraph" w:styleId="1" w:default="1">
    <w:name w:val="Normal"/>
    <w:semiHidden/>
    <w:qFormat/>
    <w:pPr>
      <w:spacing w:line="240" w:lineRule="w: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2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footer" Target="footer3.xml"/><Relationship Id="rId5" Type="http://schemas.openxmlformats.org/officeDocument/2006/relationships/image" Target="media/image3.png"/><Relationship Id="rId4" Type="http://schemas.openxmlformats.org/officeDocument/2006/relationships/image" Target="media/image2.png"/><Relationship Id="rId3" Type="http://schemas.openxmlformats.org/officeDocument/2006/relationships/footer" Target="footer2.xml"/><Relationship Id="rId2" Type="http://schemas.openxmlformats.org/officeDocument/2006/relationships/image" Target="media/image1.png"/><Relationship Id="rId16" Type="http://schemas.openxmlformats.org/officeDocument/2006/relationships/fontTable" Target="fontTable.xml"/><Relationship Id="rId15" Type="http://schemas.openxmlformats.org/officeDocument/2006/relationships/styles" Target="styles.xml"/><Relationship Id="rId14" Type="http://schemas.openxmlformats.org/officeDocument/2006/relationships/settings" Target="settings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footer" Target="footer1.xml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Kingsoft-PDF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>pdfbuilder</dc:subject>
  <dc:creator>Kingsoft-PDF</dc:creator>
  <dcterms:created xsi:type="dcterms:W3CDTF">2023-04-22T23:06:32Z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2023-04-22T23:06:32</vt:filetime>
  </property>
  <property fmtid="{D5CDD505-2E9C-101B-9397-08002B2CF9AE}" pid="4" name="UsrData">
    <vt:lpwstr>6443f7eda2d7b000156cb10e</vt:lpwstr>
  </property>
</Properties>
</file>