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954" w:right="1902" w:hanging="2739"/>
        <w:spacing w:before="134" w:line="239" w:lineRule="auto"/>
        <w:rPr>
          <w:rFonts w:ascii="FangSong" w:hAnsi="FangSong" w:eastAsia="FangSong" w:cs="FangSong"/>
          <w:sz w:val="41"/>
          <w:szCs w:val="41"/>
        </w:rPr>
      </w:pPr>
      <w:r>
        <w:rPr>
          <w:rFonts w:ascii="FangSong" w:hAnsi="FangSong" w:eastAsia="FangSong" w:cs="FangSong"/>
          <w:sz w:val="41"/>
          <w:szCs w:val="41"/>
          <w:b/>
          <w:bCs/>
          <w:spacing w:val="13"/>
        </w:rPr>
        <w:t>重庆警察学院无线校园网运营及互联网专线</w:t>
      </w:r>
      <w:r>
        <w:rPr>
          <w:rFonts w:ascii="FangSong" w:hAnsi="FangSong" w:eastAsia="FangSong" w:cs="FangSong"/>
          <w:sz w:val="41"/>
          <w:szCs w:val="41"/>
          <w:spacing w:val="1"/>
        </w:rPr>
        <w:t xml:space="preserve"> </w:t>
      </w:r>
      <w:r>
        <w:rPr>
          <w:rFonts w:ascii="FangSong" w:hAnsi="FangSong" w:eastAsia="FangSong" w:cs="FangSong"/>
          <w:sz w:val="41"/>
          <w:szCs w:val="41"/>
          <w:b/>
          <w:bCs/>
          <w:spacing w:val="15"/>
        </w:rPr>
        <w:t>租赁服务合同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9310"/>
        <w:spacing w:line="2010" w:lineRule="exact"/>
        <w:textAlignment w:val="center"/>
        <w:rPr/>
      </w:pPr>
      <w:r>
        <w:drawing>
          <wp:inline distT="0" distB="0" distL="0" distR="0">
            <wp:extent cx="590540" cy="127634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40" cy="12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604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0"/>
        </w:rPr>
        <w:t>项目名称：</w:t>
      </w:r>
      <w:r>
        <w:rPr>
          <w:rFonts w:ascii="FangSong" w:hAnsi="FangSong" w:eastAsia="FangSong" w:cs="FangSong"/>
          <w:sz w:val="31"/>
          <w:szCs w:val="31"/>
          <w:spacing w:val="4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u w:val="single" w:color="auto"/>
          <w:spacing w:val="-10"/>
        </w:rPr>
        <w:t>重庆警察学院无线校园网运营及互联网专线租</w:t>
      </w:r>
    </w:p>
    <w:p>
      <w:pPr>
        <w:spacing w:before="246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u w:val="single" w:color="auto"/>
          <w:spacing w:val="15"/>
        </w:rPr>
        <w:t>赁服务项目</w:t>
      </w:r>
    </w:p>
    <w:p>
      <w:pPr>
        <w:ind w:left="599"/>
        <w:spacing w:before="207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委托方(甲方):</w:t>
      </w:r>
      <w:r>
        <w:rPr>
          <w:rFonts w:ascii="FangSong" w:hAnsi="FangSong" w:eastAsia="FangSong" w:cs="FangSong"/>
          <w:sz w:val="31"/>
          <w:szCs w:val="31"/>
          <w:spacing w:val="10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>重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5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>庆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8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>警</w:t>
      </w:r>
      <w:r>
        <w:rPr>
          <w:rFonts w:ascii="FangSong" w:hAnsi="FangSong" w:eastAsia="FangSong" w:cs="FangSong"/>
          <w:sz w:val="31"/>
          <w:szCs w:val="31"/>
          <w:u w:val="single" w:color="auto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>察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7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>学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12"/>
        </w:rPr>
        <w:t>院</w:t>
      </w:r>
      <w:r>
        <w:rPr>
          <w:rFonts w:ascii="FangSong" w:hAnsi="FangSong" w:eastAsia="FangSong" w:cs="FangSong"/>
          <w:sz w:val="31"/>
          <w:szCs w:val="31"/>
          <w:u w:val="single" w:color="auto"/>
        </w:rPr>
        <w:t xml:space="preserve">                 </w:t>
      </w:r>
    </w:p>
    <w:p>
      <w:pPr>
        <w:ind w:left="604"/>
        <w:spacing w:before="222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受托方(乙方):</w:t>
      </w:r>
      <w:r>
        <w:rPr>
          <w:rFonts w:ascii="FangSong" w:hAnsi="FangSong" w:eastAsia="FangSong" w:cs="FangSong"/>
          <w:sz w:val="31"/>
          <w:szCs w:val="31"/>
          <w:spacing w:val="-32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u w:val="single" w:color="auto"/>
          <w:spacing w:val="14"/>
        </w:rPr>
        <w:t>联通数字科技有限公司重庆市分公司</w:t>
      </w:r>
    </w:p>
    <w:p>
      <w:pPr>
        <w:ind w:left="599"/>
        <w:spacing w:before="233" w:line="35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40"/>
        </w:rPr>
        <w:t>合同编号：</w:t>
      </w:r>
      <w:r>
        <w:rPr>
          <w:rFonts w:ascii="FangSong" w:hAnsi="FangSong" w:eastAsia="FangSong" w:cs="FangSong"/>
          <w:sz w:val="31"/>
          <w:szCs w:val="31"/>
          <w:spacing w:val="45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</w:rPr>
        <w:t xml:space="preserve">                                       </w:t>
      </w:r>
    </w:p>
    <w:p>
      <w:pPr>
        <w:ind w:left="599"/>
        <w:spacing w:before="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6"/>
        </w:rPr>
        <w:t>签订地点：</w:t>
      </w:r>
      <w:r>
        <w:rPr>
          <w:rFonts w:ascii="FangSong" w:hAnsi="FangSong" w:eastAsia="FangSong" w:cs="FangSong"/>
          <w:sz w:val="31"/>
          <w:szCs w:val="31"/>
          <w:spacing w:val="40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125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36"/>
        </w:rPr>
        <w:t>重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27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36"/>
        </w:rPr>
        <w:t>庆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35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36"/>
        </w:rPr>
        <w:t>市</w:t>
      </w:r>
      <w:r>
        <w:rPr>
          <w:rFonts w:ascii="FangSong" w:hAnsi="FangSong" w:eastAsia="FangSong" w:cs="FangSong"/>
          <w:sz w:val="31"/>
          <w:szCs w:val="31"/>
          <w:u w:val="single" w:color="auto"/>
        </w:rPr>
        <w:t xml:space="preserve">                               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120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二零二二年六月</w:t>
      </w:r>
    </w:p>
    <w:p>
      <w:pPr>
        <w:sectPr>
          <w:footerReference w:type="default" r:id="rId1"/>
          <w:pgSz w:w="11900" w:h="16820"/>
          <w:pgMar w:top="1429" w:right="59" w:bottom="1732" w:left="1599" w:header="0" w:footer="1506" w:gutter="0"/>
        </w:sectPr>
        <w:rPr/>
      </w:pPr>
    </w:p>
    <w:p>
      <w:pPr>
        <w:ind w:left="120"/>
        <w:spacing w:before="200"/>
        <w:rPr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6746533</wp:posOffset>
                </wp:positionH>
                <wp:positionV relativeFrom="page">
                  <wp:posOffset>3135395</wp:posOffset>
                </wp:positionV>
                <wp:extent cx="1391919" cy="186689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746533" y="3135395"/>
                          <a:ext cx="1391919" cy="1866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24" w:lineRule="auto"/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2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26"/>
                              </w:rPr>
                              <w:t xml:space="preserve">  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一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29"/>
                              </w:rPr>
                              <w:t xml:space="preserve">  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中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3"/>
                              </w:rPr>
                              <w:t xml:space="preserve">   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日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26"/>
                              </w:rPr>
                              <w:t xml:space="preserve">  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531.223pt;margin-top:246.882pt;mso-position-vertical-relative:page;mso-position-horizontal-relative:page;width:109.6pt;height:14.7pt;z-index:2516582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24" w:lineRule="auto"/>
                        <w:rPr>
                          <w:rFonts w:ascii="SimHei" w:hAnsi="SimHei" w:eastAsia="SimHei" w:cs="SimHei"/>
                          <w:sz w:val="18"/>
                          <w:szCs w:val="18"/>
                        </w:rPr>
                      </w:pP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2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26"/>
                        </w:rPr>
                        <w:t xml:space="preserve">  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一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29"/>
                        </w:rPr>
                        <w:t xml:space="preserve">  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中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3"/>
                        </w:rPr>
                        <w:t xml:space="preserve">   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日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26"/>
                        </w:rPr>
                        <w:t xml:space="preserve">  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合</w:t>
      </w:r>
      <w:r>
        <w:rPr>
          <w:rFonts w:ascii="SimSun" w:hAnsi="SimSun" w:eastAsia="SimSun" w:cs="SimSun"/>
          <w:sz w:val="16"/>
          <w:szCs w:val="16"/>
          <w:u w:val="single" w:color="auto"/>
          <w:spacing w:val="-4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固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编</w:t>
      </w:r>
      <w:r>
        <w:rPr>
          <w:rFonts w:ascii="SimSun" w:hAnsi="SimSun" w:eastAsia="SimSun" w:cs="SimSun"/>
          <w:sz w:val="16"/>
          <w:szCs w:val="16"/>
          <w:u w:val="single" w:color="auto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号</w:t>
      </w:r>
      <w:r>
        <w:rPr>
          <w:rFonts w:ascii="SimSun" w:hAnsi="SimSun" w:eastAsia="SimSun" w:cs="SimSun"/>
          <w:sz w:val="16"/>
          <w:szCs w:val="16"/>
          <w:u w:val="single" w:color="auto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·</w:t>
      </w:r>
      <w:r>
        <w:rPr>
          <w:rFonts w:ascii="SimSun" w:hAnsi="SimSun" w:eastAsia="SimSun" w:cs="SimSun"/>
          <w:sz w:val="16"/>
          <w:szCs w:val="16"/>
          <w:u w:val="single" w:color="auto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1</w:t>
      </w:r>
      <w:r>
        <w:rPr>
          <w:rFonts w:ascii="SimSun" w:hAnsi="SimSun" w:eastAsia="SimSun" w:cs="SimSun"/>
          <w:sz w:val="16"/>
          <w:szCs w:val="16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C</w:t>
      </w:r>
      <w:r>
        <w:rPr>
          <w:rFonts w:ascii="SimSun" w:hAnsi="SimSun" w:eastAsia="SimSun" w:cs="SimSun"/>
          <w:sz w:val="16"/>
          <w:szCs w:val="16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2</w:t>
      </w:r>
      <w:r>
        <w:rPr>
          <w:rFonts w:ascii="SimSun" w:hAnsi="SimSun" w:eastAsia="SimSun" w:cs="SimSun"/>
          <w:sz w:val="16"/>
          <w:szCs w:val="16"/>
          <w:u w:val="single" w:color="auto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1</w:t>
      </w:r>
      <w:r>
        <w:rPr>
          <w:rFonts w:ascii="SimSun" w:hAnsi="SimSun" w:eastAsia="SimSun" w:cs="SimSun"/>
          <w:sz w:val="16"/>
          <w:szCs w:val="16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-</w:t>
      </w:r>
      <w:r>
        <w:rPr>
          <w:rFonts w:ascii="SimSun" w:hAnsi="SimSun" w:eastAsia="SimSun" w:cs="SimSun"/>
          <w:sz w:val="16"/>
          <w:szCs w:val="16"/>
          <w:u w:val="single" w:color="auto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5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1</w:t>
      </w:r>
      <w:r>
        <w:rPr>
          <w:rFonts w:ascii="SimSun" w:hAnsi="SimSun" w:eastAsia="SimSun" w:cs="SimSun"/>
          <w:sz w:val="16"/>
          <w:szCs w:val="16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-</w:t>
      </w:r>
      <w:r>
        <w:rPr>
          <w:rFonts w:ascii="SimSun" w:hAnsi="SimSun" w:eastAsia="SimSun" w:cs="SimSun"/>
          <w:sz w:val="16"/>
          <w:szCs w:val="16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2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2</w:t>
      </w:r>
      <w:r>
        <w:rPr>
          <w:rFonts w:ascii="SimSun" w:hAnsi="SimSun" w:eastAsia="SimSun" w:cs="SimSun"/>
          <w:sz w:val="16"/>
          <w:szCs w:val="16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2</w:t>
      </w:r>
      <w:r>
        <w:rPr>
          <w:rFonts w:ascii="SimSun" w:hAnsi="SimSun" w:eastAsia="SimSun" w:cs="SimSun"/>
          <w:sz w:val="16"/>
          <w:szCs w:val="16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-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5</w:t>
      </w:r>
      <w:r>
        <w:rPr>
          <w:rFonts w:ascii="SimSun" w:hAnsi="SimSun" w:eastAsia="SimSun" w:cs="SimSun"/>
          <w:sz w:val="16"/>
          <w:szCs w:val="16"/>
          <w:u w:val="single" w:color="auto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3</w:t>
      </w:r>
      <w:r>
        <w:rPr>
          <w:rFonts w:ascii="SimSun" w:hAnsi="SimSun" w:eastAsia="SimSun" w:cs="SimSun"/>
          <w:sz w:val="16"/>
          <w:szCs w:val="16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u w:val="single" w:color="auto"/>
          <w:spacing w:val="-1"/>
        </w:rPr>
        <w:t>0</w:t>
      </w:r>
      <w:r>
        <w:rPr>
          <w:rFonts w:ascii="SimSun" w:hAnsi="SimSun" w:eastAsia="SimSun" w:cs="SimSun"/>
          <w:sz w:val="16"/>
          <w:szCs w:val="16"/>
          <w:u w:val="single" w:color="auto"/>
          <w:spacing w:val="1"/>
        </w:rPr>
        <w:t xml:space="preserve">                               </w:t>
      </w:r>
      <w:r>
        <w:rPr>
          <w:rFonts w:ascii="SimSun" w:hAnsi="SimSun" w:eastAsia="SimSun" w:cs="SimSun"/>
          <w:sz w:val="16"/>
          <w:szCs w:val="16"/>
          <w:u w:val="single" w:color="auto"/>
        </w:rPr>
        <w:t xml:space="preserve">     </w:t>
      </w:r>
      <w:r>
        <w:rPr>
          <w:sz w:val="16"/>
          <w:szCs w:val="16"/>
          <w:position w:val="-12"/>
        </w:rPr>
        <w:drawing>
          <wp:inline distT="0" distB="0" distL="0" distR="0">
            <wp:extent cx="977886" cy="32823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886" cy="3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right="1718" w:firstLine="459"/>
        <w:spacing w:before="2" w:line="24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根据《中华人民共和国民法典》及相关法律法规的规定，甲乙双方在平等、自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8"/>
        </w:rPr>
        <w:t>、公平、协商</w:t>
      </w:r>
      <w:r>
        <w:rPr>
          <w:rFonts w:ascii="FangSong" w:hAnsi="FangSong" w:eastAsia="FangSong" w:cs="FangSong"/>
          <w:sz w:val="21"/>
          <w:szCs w:val="21"/>
          <w:spacing w:val="-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8"/>
        </w:rPr>
        <w:t>一致的基础上，就甲方委托乙方提供无线校园网运营及互联网专线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租赁服务的有关事宜达成如下协议：</w:t>
      </w:r>
    </w:p>
    <w:p>
      <w:pPr>
        <w:ind w:left="584"/>
        <w:spacing w:before="297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7"/>
        </w:rPr>
        <w:t>第一条</w:t>
      </w:r>
      <w:r>
        <w:rPr>
          <w:rFonts w:ascii="FangSong" w:hAnsi="FangSong" w:eastAsia="FangSong" w:cs="FangSong"/>
          <w:sz w:val="29"/>
          <w:szCs w:val="29"/>
          <w:spacing w:val="3"/>
        </w:rPr>
        <w:t xml:space="preserve">  </w:t>
      </w:r>
      <w:r>
        <w:rPr>
          <w:rFonts w:ascii="FangSong" w:hAnsi="FangSong" w:eastAsia="FangSong" w:cs="FangSong"/>
          <w:sz w:val="29"/>
          <w:szCs w:val="29"/>
          <w:b/>
          <w:bCs/>
          <w:spacing w:val="-7"/>
        </w:rPr>
        <w:t>服务内容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10" w:right="1757" w:firstLine="509"/>
        <w:spacing w:before="71" w:line="378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0"/>
        </w:rPr>
        <w:t>1、甲方委托乙方提供.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0"/>
        </w:rPr>
        <w:t>无线校园网运营及互联网专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9"/>
        </w:rPr>
        <w:t>线租赁服务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9"/>
        </w:rPr>
        <w:t>项目(以下简称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8"/>
        </w:rPr>
        <w:t>“本项目”)。本项目的整体功能应当符合招标文件规定</w:t>
      </w:r>
      <w:r>
        <w:rPr>
          <w:rFonts w:ascii="FangSong" w:hAnsi="FangSong" w:eastAsia="FangSong" w:cs="FangSong"/>
          <w:sz w:val="22"/>
          <w:szCs w:val="22"/>
          <w:spacing w:val="17"/>
        </w:rPr>
        <w:t>的各项技术指标和技术参</w:t>
      </w:r>
    </w:p>
    <w:p>
      <w:pPr>
        <w:ind w:left="39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数要求。</w:t>
      </w:r>
    </w:p>
    <w:p>
      <w:pPr>
        <w:ind w:left="520"/>
        <w:spacing w:before="17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</w:rPr>
        <w:t>2、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</w:rPr>
        <w:t>服务内容</w:t>
      </w:r>
    </w:p>
    <w:p>
      <w:pPr>
        <w:ind w:left="580"/>
        <w:spacing w:before="195" w:line="449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7"/>
          <w:position w:val="17"/>
        </w:rPr>
        <w:t>(1)乙方提供的服务包括如下内容：</w:t>
      </w:r>
    </w:p>
    <w:p>
      <w:pPr>
        <w:ind w:left="470"/>
        <w:spacing w:before="1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"/>
        </w:rPr>
        <w:t>【】信息系统设计；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"/>
        </w:rPr>
        <w:t>【】软件开发；</w:t>
      </w:r>
    </w:p>
    <w:p>
      <w:pPr>
        <w:ind w:left="470"/>
        <w:spacing w:before="20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"/>
        </w:rPr>
        <w:t>【】信息系统集成；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"/>
        </w:rPr>
        <w:t>【】技术服务；</w:t>
      </w:r>
    </w:p>
    <w:p>
      <w:pPr>
        <w:ind w:left="470"/>
        <w:spacing w:before="20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"/>
        </w:rPr>
        <w:t>【</w:t>
      </w:r>
      <w:r>
        <w:rPr>
          <w:rFonts w:ascii="FangSong" w:hAnsi="FangSong" w:eastAsia="FangSong" w:cs="FangSong"/>
          <w:sz w:val="22"/>
          <w:szCs w:val="22"/>
          <w:spacing w:val="-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"/>
        </w:rPr>
        <w:t>√</w:t>
      </w:r>
      <w:r>
        <w:rPr>
          <w:rFonts w:ascii="FangSong" w:hAnsi="FangSong" w:eastAsia="FangSong" w:cs="FangSong"/>
          <w:sz w:val="22"/>
          <w:szCs w:val="22"/>
          <w:spacing w:val="-7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"/>
        </w:rPr>
        <w:t>】其他服务：</w:t>
      </w:r>
      <w:r>
        <w:rPr>
          <w:rFonts w:ascii="FangSong" w:hAnsi="FangSong" w:eastAsia="FangSong" w:cs="FangSong"/>
          <w:sz w:val="22"/>
          <w:szCs w:val="22"/>
          <w:spacing w:val="40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"/>
        </w:rPr>
        <w:t>无线校园网运营及互联网专线租</w:t>
      </w:r>
      <w:r>
        <w:rPr>
          <w:rFonts w:ascii="FangSong" w:hAnsi="FangSong" w:eastAsia="FangSong" w:cs="FangSong"/>
          <w:sz w:val="22"/>
          <w:szCs w:val="22"/>
          <w:u w:val="single" w:color="auto"/>
        </w:rPr>
        <w:t>赁服务</w:t>
      </w:r>
      <w:r>
        <w:rPr>
          <w:rFonts w:ascii="FangSong" w:hAnsi="FangSong" w:eastAsia="FangSong" w:cs="FangSong"/>
          <w:sz w:val="22"/>
          <w:szCs w:val="22"/>
        </w:rPr>
        <w:t>.</w:t>
      </w:r>
    </w:p>
    <w:p>
      <w:pPr>
        <w:ind w:left="580"/>
        <w:spacing w:before="16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3"/>
        </w:rPr>
        <w:t>(2)本项目所涉及的服务具体内容：</w:t>
      </w:r>
      <w:r>
        <w:rPr>
          <w:rFonts w:ascii="FangSong" w:hAnsi="FangSong" w:eastAsia="FangSong" w:cs="FangSong"/>
          <w:sz w:val="22"/>
          <w:szCs w:val="22"/>
          <w:spacing w:val="57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3"/>
        </w:rPr>
        <w:t>无线校园网运营及互联网专线租赁服务</w:t>
      </w:r>
      <w:r>
        <w:rPr>
          <w:rFonts w:ascii="FangSong" w:hAnsi="FangSong" w:eastAsia="FangSong" w:cs="FangSong"/>
          <w:sz w:val="22"/>
          <w:szCs w:val="22"/>
          <w:spacing w:val="13"/>
        </w:rPr>
        <w:t>。</w:t>
      </w:r>
    </w:p>
    <w:p>
      <w:pPr>
        <w:ind w:left="490"/>
        <w:spacing w:before="187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3、</w:t>
      </w:r>
      <w:r>
        <w:rPr>
          <w:rFonts w:ascii="FangSong" w:hAnsi="FangSong" w:eastAsia="FangSong" w:cs="FangSong"/>
          <w:sz w:val="22"/>
          <w:szCs w:val="22"/>
          <w:spacing w:val="-2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项目服务期限为合同签订生效后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1"/>
        </w:rPr>
        <w:t xml:space="preserve">  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6"/>
        </w:rPr>
        <w:t>3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7"/>
        </w:rPr>
        <w:t xml:space="preserve">   </w:t>
      </w:r>
      <w:r>
        <w:rPr>
          <w:rFonts w:ascii="FangSong" w:hAnsi="FangSong" w:eastAsia="FangSong" w:cs="FangSong"/>
          <w:sz w:val="22"/>
          <w:szCs w:val="22"/>
          <w:spacing w:val="6"/>
        </w:rPr>
        <w:t>年</w:t>
      </w:r>
      <w:r>
        <w:rPr>
          <w:rFonts w:ascii="FangSong" w:hAnsi="FangSong" w:eastAsia="FangSong" w:cs="FangSong"/>
          <w:sz w:val="22"/>
          <w:szCs w:val="22"/>
          <w:spacing w:val="-5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584"/>
        <w:spacing w:before="95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7"/>
        </w:rPr>
        <w:t>第二条合同价款及付款方式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520"/>
        <w:spacing w:before="73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"/>
        </w:rPr>
        <w:t>1、</w:t>
      </w:r>
      <w:r>
        <w:rPr>
          <w:rFonts w:ascii="FangSong" w:hAnsi="FangSong" w:eastAsia="FangSong" w:cs="FangSong"/>
          <w:sz w:val="22"/>
          <w:szCs w:val="22"/>
          <w:spacing w:val="-3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"/>
        </w:rPr>
        <w:t>合同含税价款总额为：</w:t>
      </w:r>
    </w:p>
    <w:p>
      <w:pPr>
        <w:ind w:left="523"/>
        <w:spacing w:before="160" w:line="43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17"/>
        </w:rPr>
        <w:t>甲方根据乙方提供的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45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u w:val="single" w:color="auto"/>
          <w:spacing w:val="17"/>
        </w:rPr>
        <w:t>无线校园网运营及互联网专线租赁服务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57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17"/>
        </w:rPr>
        <w:t>向乙方付清</w:t>
      </w:r>
    </w:p>
    <w:p>
      <w:pPr>
        <w:ind w:left="43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5"/>
        </w:rPr>
        <w:t>服务费，服务费为人民币</w:t>
      </w:r>
      <w:r>
        <w:rPr>
          <w:rFonts w:ascii="SimSun" w:hAnsi="SimSun" w:eastAsia="SimSun" w:cs="SimSun"/>
          <w:sz w:val="22"/>
          <w:szCs w:val="22"/>
          <w:b/>
          <w:bCs/>
          <w:spacing w:val="5"/>
        </w:rPr>
        <w:t>¥</w:t>
      </w:r>
      <w:r>
        <w:rPr>
          <w:rFonts w:ascii="SimSun" w:hAnsi="SimSun" w:eastAsia="SimSun" w:cs="SimSun"/>
          <w:sz w:val="22"/>
          <w:szCs w:val="22"/>
          <w:spacing w:val="-89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69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u w:val="single" w:color="auto"/>
          <w:spacing w:val="5"/>
        </w:rPr>
        <w:t>2,340,000.00</w:t>
      </w:r>
      <w:r>
        <w:rPr>
          <w:rFonts w:ascii="FangSong" w:hAnsi="FangSong" w:eastAsia="FangSong" w:cs="FangSong"/>
          <w:sz w:val="22"/>
          <w:szCs w:val="22"/>
          <w:b/>
          <w:bCs/>
          <w:spacing w:val="5"/>
        </w:rPr>
        <w:t>元(大写：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u w:val="single" w:color="auto"/>
          <w:spacing w:val="5"/>
        </w:rPr>
        <w:t>贰佰叁拾肆万元</w:t>
      </w:r>
      <w:r>
        <w:rPr>
          <w:rFonts w:ascii="FangSong" w:hAnsi="FangSong" w:eastAsia="FangSong" w:cs="FangSong"/>
          <w:sz w:val="22"/>
          <w:szCs w:val="22"/>
          <w:b/>
          <w:bCs/>
          <w:u w:val="single" w:color="auto"/>
          <w:spacing w:val="4"/>
        </w:rPr>
        <w:t>整</w:t>
      </w:r>
      <w:r>
        <w:rPr>
          <w:rFonts w:ascii="FangSong" w:hAnsi="FangSong" w:eastAsia="FangSong" w:cs="FangSong"/>
          <w:sz w:val="22"/>
          <w:szCs w:val="22"/>
          <w:b/>
          <w:bCs/>
          <w:spacing w:val="4"/>
        </w:rPr>
        <w:t>)</w:t>
      </w:r>
      <w:r>
        <w:rPr>
          <w:rFonts w:ascii="FangSong" w:hAnsi="FangSong" w:eastAsia="FangSong" w:cs="FangSong"/>
          <w:sz w:val="22"/>
          <w:szCs w:val="22"/>
          <w:spacing w:val="-24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4"/>
        </w:rPr>
        <w:t>,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4"/>
        </w:rPr>
        <w:t>本</w:t>
      </w:r>
      <w:r>
        <w:rPr>
          <w:rFonts w:ascii="FangSong" w:hAnsi="FangSong" w:eastAsia="FangSong" w:cs="FangSong"/>
          <w:sz w:val="22"/>
          <w:szCs w:val="22"/>
          <w:spacing w:val="-41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4"/>
        </w:rPr>
        <w:t>价</w:t>
      </w:r>
      <w:r>
        <w:rPr>
          <w:rFonts w:ascii="FangSong" w:hAnsi="FangSong" w:eastAsia="FangSong" w:cs="FangSong"/>
          <w:sz w:val="22"/>
          <w:szCs w:val="22"/>
          <w:spacing w:val="-4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4"/>
        </w:rPr>
        <w:t>格</w:t>
      </w:r>
    </w:p>
    <w:p>
      <w:pPr>
        <w:ind w:left="39"/>
        <w:spacing w:before="259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4"/>
        </w:rPr>
        <w:t>为含税价。</w:t>
      </w:r>
    </w:p>
    <w:p>
      <w:pPr>
        <w:ind w:left="480"/>
        <w:spacing w:before="196"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5"/>
        </w:rPr>
        <w:t>2、</w:t>
      </w:r>
      <w:r>
        <w:rPr>
          <w:rFonts w:ascii="FangSong" w:hAnsi="FangSong" w:eastAsia="FangSong" w:cs="FangSong"/>
          <w:sz w:val="22"/>
          <w:szCs w:val="22"/>
          <w:spacing w:val="-2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付款方式：</w:t>
      </w:r>
    </w:p>
    <w:p>
      <w:pPr>
        <w:ind w:left="520"/>
        <w:spacing w:before="21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0"/>
        </w:rPr>
        <w:t>本项目价款采用以下方式支付，以人民币结算</w:t>
      </w:r>
      <w:r>
        <w:rPr>
          <w:rFonts w:ascii="FangSong" w:hAnsi="FangSong" w:eastAsia="FangSong" w:cs="FangSong"/>
          <w:sz w:val="22"/>
          <w:szCs w:val="22"/>
          <w:spacing w:val="9"/>
        </w:rPr>
        <w:t>：</w:t>
      </w:r>
    </w:p>
    <w:p>
      <w:pPr>
        <w:ind w:left="580"/>
        <w:spacing w:before="185" w:line="440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6"/>
          <w:position w:val="16"/>
        </w:rPr>
        <w:t>(1)合同签订时乙方向甲方交纳合同金额3%的履约保证金(以支票、汇票、本</w:t>
      </w:r>
    </w:p>
    <w:p>
      <w:pPr>
        <w:ind w:left="39"/>
        <w:spacing w:before="1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7"/>
        </w:rPr>
        <w:t>票或者金融机构、担保机构出具的保函等非现金形式提交);</w:t>
      </w:r>
    </w:p>
    <w:p>
      <w:pPr>
        <w:ind w:left="580"/>
        <w:spacing w:before="176" w:line="441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4"/>
          <w:position w:val="16"/>
        </w:rPr>
        <w:t>(2)乙方按采购要求建设好无线校园网并安装</w:t>
      </w:r>
      <w:r>
        <w:rPr>
          <w:rFonts w:ascii="FangSong" w:hAnsi="FangSong" w:eastAsia="FangSong" w:cs="FangSong"/>
          <w:sz w:val="22"/>
          <w:szCs w:val="22"/>
          <w:spacing w:val="13"/>
          <w:position w:val="16"/>
        </w:rPr>
        <w:t>调试完成，进行初验。试运行连</w:t>
      </w:r>
    </w:p>
    <w:p>
      <w:pPr>
        <w:spacing w:before="1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3"/>
        </w:rPr>
        <w:t>续30天无故障，如出现故障，自故障排除之日起30天后，经验收合格后，甲方出具</w:t>
      </w:r>
    </w:p>
    <w:p>
      <w:pPr>
        <w:sectPr>
          <w:footerReference w:type="default" r:id="rId3"/>
          <w:pgSz w:w="11900" w:h="16820"/>
          <w:pgMar w:top="1429" w:right="88" w:bottom="1712" w:left="1589" w:header="0" w:footer="1498" w:gutter="0"/>
        </w:sectPr>
        <w:rPr/>
      </w:pPr>
    </w:p>
    <w:p>
      <w:pPr>
        <w:spacing w:before="19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7"/>
        </w:rPr>
        <w:t>项目最终验收报告。</w:t>
      </w:r>
    </w:p>
    <w:p>
      <w:pPr>
        <w:ind w:left="419"/>
        <w:spacing w:before="17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6"/>
        </w:rPr>
        <w:t>(3)付款周期：</w:t>
      </w:r>
    </w:p>
    <w:p>
      <w:pPr>
        <w:ind w:right="70" w:firstLine="419"/>
        <w:spacing w:before="174" w:line="4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9"/>
        </w:rPr>
        <w:t>每1年为一个付款周期。项目验收完成后，乙方向甲方开具合同金额3分之1的发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票，收到发票后20个工作日内开始第1次付款，甲方以转账方式向乙方支付发票金额</w:t>
      </w:r>
    </w:p>
    <w:p>
      <w:pPr>
        <w:spacing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的钱款。第2年与第3年同月乙方以同样方式开具发票，甲方</w:t>
      </w:r>
      <w:r>
        <w:rPr>
          <w:rFonts w:ascii="FangSong" w:hAnsi="FangSong" w:eastAsia="FangSong" w:cs="FangSong"/>
          <w:sz w:val="21"/>
          <w:szCs w:val="21"/>
          <w:spacing w:val="21"/>
        </w:rPr>
        <w:t>支付第2、3次款项。</w:t>
      </w:r>
    </w:p>
    <w:p>
      <w:pPr>
        <w:ind w:left="419"/>
        <w:spacing w:before="182" w:line="462" w:lineRule="exac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  <w:position w:val="19"/>
        </w:rPr>
        <w:t>(4)服务期3年满后，乙方凭缴纳履约保证金凭据向甲方申请退</w:t>
      </w:r>
      <w:r>
        <w:rPr>
          <w:rFonts w:ascii="FangSong" w:hAnsi="FangSong" w:eastAsia="FangSong" w:cs="FangSong"/>
          <w:sz w:val="21"/>
          <w:szCs w:val="21"/>
          <w:spacing w:val="21"/>
          <w:position w:val="19"/>
        </w:rPr>
        <w:t>还履约保证金，</w:t>
      </w:r>
    </w:p>
    <w:p>
      <w:pPr>
        <w:spacing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甲方无息退还。</w:t>
      </w:r>
    </w:p>
    <w:p>
      <w:pPr>
        <w:ind w:left="419"/>
        <w:spacing w:before="19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3、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支付方式：</w:t>
      </w:r>
    </w:p>
    <w:p>
      <w:pPr>
        <w:ind w:left="419"/>
        <w:spacing w:before="201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甲方与乙方之间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8"/>
        </w:rPr>
        <w:t>通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8"/>
        </w:rPr>
        <w:t>过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8"/>
        </w:rPr>
        <w:t>银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8"/>
        </w:rPr>
        <w:t>行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8"/>
        </w:rPr>
        <w:t>转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8"/>
        </w:rPr>
        <w:t>账</w:t>
      </w:r>
      <w:r>
        <w:rPr>
          <w:rFonts w:ascii="FangSong" w:hAnsi="FangSong" w:eastAsia="FangSong" w:cs="FangSong"/>
          <w:sz w:val="21"/>
          <w:szCs w:val="21"/>
          <w:spacing w:val="3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方式进行结算。</w:t>
      </w:r>
    </w:p>
    <w:p>
      <w:pPr>
        <w:ind w:left="419"/>
        <w:spacing w:before="194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4、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发票种类：</w:t>
      </w:r>
    </w:p>
    <w:p>
      <w:pPr>
        <w:ind w:left="419"/>
        <w:spacing w:before="19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乙方提供发票种类如下：</w:t>
      </w:r>
    </w:p>
    <w:p>
      <w:pPr>
        <w:ind w:left="317"/>
        <w:spacing w:before="210" w:line="23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【】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增值税专用发票；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     </w:t>
      </w: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【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√</w:t>
      </w:r>
      <w:r>
        <w:rPr>
          <w:rFonts w:ascii="FangSong" w:hAnsi="FangSong" w:eastAsia="FangSong" w:cs="FangSong"/>
          <w:sz w:val="21"/>
          <w:szCs w:val="21"/>
          <w:spacing w:val="-76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】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增值税普通发票；</w:t>
      </w:r>
    </w:p>
    <w:p>
      <w:pPr>
        <w:ind w:left="419"/>
        <w:spacing w:before="18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5、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银行信息：</w:t>
      </w:r>
    </w:p>
    <w:p>
      <w:pPr>
        <w:ind w:left="422"/>
        <w:spacing w:before="2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20"/>
        </w:rPr>
        <w:t>合同甲方：重庆警察学院</w:t>
      </w:r>
    </w:p>
    <w:p>
      <w:pPr>
        <w:ind w:left="419"/>
        <w:spacing w:before="22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0"/>
        </w:rPr>
        <w:t>开户名称：重庆警察学院</w:t>
      </w:r>
    </w:p>
    <w:p>
      <w:pPr>
        <w:ind w:left="419"/>
        <w:spacing w:before="228" w:line="483" w:lineRule="exac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  <w:position w:val="20"/>
        </w:rPr>
        <w:t>开</w:t>
      </w:r>
      <w:r>
        <w:rPr>
          <w:rFonts w:ascii="FangSong" w:hAnsi="FangSong" w:eastAsia="FangSong" w:cs="FangSong"/>
          <w:sz w:val="21"/>
          <w:szCs w:val="21"/>
          <w:spacing w:val="25"/>
          <w:position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  <w:position w:val="20"/>
        </w:rPr>
        <w:t>户</w:t>
      </w:r>
      <w:r>
        <w:rPr>
          <w:rFonts w:ascii="FangSong" w:hAnsi="FangSong" w:eastAsia="FangSong" w:cs="FangSong"/>
          <w:sz w:val="21"/>
          <w:szCs w:val="21"/>
          <w:spacing w:val="23"/>
          <w:position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  <w:position w:val="20"/>
        </w:rPr>
        <w:t>行</w:t>
      </w:r>
      <w:r>
        <w:rPr>
          <w:rFonts w:ascii="FangSong" w:hAnsi="FangSong" w:eastAsia="FangSong" w:cs="FangSong"/>
          <w:sz w:val="21"/>
          <w:szCs w:val="21"/>
          <w:spacing w:val="36"/>
          <w:position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  <w:position w:val="20"/>
        </w:rPr>
        <w:t>：中国银行重庆高新支行</w:t>
      </w:r>
    </w:p>
    <w:p>
      <w:pPr>
        <w:ind w:left="419"/>
        <w:spacing w:before="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帐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  </w:t>
      </w:r>
      <w:r>
        <w:rPr>
          <w:rFonts w:ascii="FangSong" w:hAnsi="FangSong" w:eastAsia="FangSong" w:cs="FangSong"/>
          <w:sz w:val="21"/>
          <w:szCs w:val="21"/>
          <w:spacing w:val="-7"/>
        </w:rPr>
        <w:t>号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：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108842323244</w:t>
      </w:r>
    </w:p>
    <w:p>
      <w:pPr>
        <w:ind w:left="419"/>
        <w:spacing w:before="221" w:line="482" w:lineRule="exac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  <w:position w:val="20"/>
        </w:rPr>
        <w:t>合同乙</w:t>
      </w:r>
      <w:r>
        <w:rPr>
          <w:rFonts w:ascii="FangSong" w:hAnsi="FangSong" w:eastAsia="FangSong" w:cs="FangSong"/>
          <w:sz w:val="21"/>
          <w:szCs w:val="21"/>
          <w:b/>
          <w:bCs/>
          <w:spacing w:val="23"/>
          <w:position w:val="20"/>
        </w:rPr>
        <w:t>方：联通数字科技有限公司重庆市分公</w:t>
      </w:r>
      <w:r>
        <w:rPr>
          <w:rFonts w:ascii="FangSong" w:hAnsi="FangSong" w:eastAsia="FangSong" w:cs="FangSong"/>
          <w:sz w:val="21"/>
          <w:szCs w:val="21"/>
          <w:b/>
          <w:bCs/>
          <w:spacing w:val="22"/>
          <w:position w:val="20"/>
        </w:rPr>
        <w:t>司</w:t>
      </w:r>
    </w:p>
    <w:p>
      <w:pPr>
        <w:ind w:left="419"/>
        <w:spacing w:before="1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开户名称：联通数字科技有限公司重庆市分公司</w:t>
      </w:r>
    </w:p>
    <w:p>
      <w:pPr>
        <w:ind w:left="419"/>
        <w:spacing w:before="22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5"/>
        </w:rPr>
        <w:t>开户行：中国工商银行重庆市两江分行营业部</w:t>
      </w:r>
    </w:p>
    <w:p>
      <w:pPr>
        <w:ind w:left="419"/>
        <w:spacing w:before="232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帐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   </w:t>
      </w:r>
      <w:r>
        <w:rPr>
          <w:rFonts w:ascii="FangSong" w:hAnsi="FangSong" w:eastAsia="FangSong" w:cs="FangSong"/>
          <w:sz w:val="21"/>
          <w:szCs w:val="21"/>
          <w:spacing w:val="10"/>
        </w:rPr>
        <w:t>号：3100020219200098619</w:t>
      </w:r>
    </w:p>
    <w:p>
      <w:pPr>
        <w:ind w:left="419"/>
        <w:spacing w:before="193" w:line="469" w:lineRule="exac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  <w:position w:val="19"/>
        </w:rPr>
        <w:t>6、</w:t>
      </w:r>
      <w:r>
        <w:rPr>
          <w:rFonts w:ascii="FangSong" w:hAnsi="FangSong" w:eastAsia="FangSong" w:cs="FangSong"/>
          <w:sz w:val="21"/>
          <w:szCs w:val="21"/>
          <w:spacing w:val="-1"/>
          <w:position w:val="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  <w:position w:val="19"/>
        </w:rPr>
        <w:t>本项目实施过程中，若甲方中途变更方案或发生其他服务的调整变化，相</w:t>
      </w:r>
    </w:p>
    <w:p>
      <w:pPr>
        <w:spacing w:before="1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费用的变化由双方另行协商解决。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424"/>
        <w:spacing w:before="95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18"/>
        </w:rPr>
        <w:t>第三条项目实施管理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ind w:left="419"/>
        <w:spacing w:before="69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1、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项目组</w:t>
      </w:r>
    </w:p>
    <w:p>
      <w:pPr>
        <w:sectPr>
          <w:headerReference w:type="default" r:id="rId5"/>
          <w:footerReference w:type="default" r:id="rId6"/>
          <w:pgSz w:w="11900" w:h="16820"/>
          <w:pgMar w:top="2056" w:right="1785" w:bottom="1721" w:left="1640" w:header="1846" w:footer="1472" w:gutter="0"/>
        </w:sectPr>
        <w:rPr/>
      </w:pPr>
    </w:p>
    <w:p>
      <w:pPr>
        <w:ind w:left="450"/>
        <w:spacing w:before="149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甲乙双方应当委派人员分别组成项目组。</w:t>
      </w:r>
    </w:p>
    <w:p>
      <w:pPr>
        <w:ind w:left="450"/>
        <w:spacing w:before="180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5"/>
        </w:rPr>
        <w:t>2、</w:t>
      </w:r>
      <w:r>
        <w:rPr>
          <w:rFonts w:ascii="FangSong" w:hAnsi="FangSong" w:eastAsia="FangSong" w:cs="FangSong"/>
          <w:sz w:val="23"/>
          <w:szCs w:val="23"/>
          <w:spacing w:val="-5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5"/>
        </w:rPr>
        <w:t>信息与资料提供</w:t>
      </w:r>
    </w:p>
    <w:p>
      <w:pPr>
        <w:ind w:left="450"/>
        <w:spacing w:before="185" w:line="451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  <w:position w:val="16"/>
        </w:rPr>
        <w:t>乙方有权向甲方有关职能人员调查、了解现有的相关信息和资料，</w:t>
      </w:r>
      <w:r>
        <w:rPr>
          <w:rFonts w:ascii="FangSong" w:hAnsi="FangSong" w:eastAsia="FangSong" w:cs="FangSong"/>
          <w:sz w:val="23"/>
          <w:szCs w:val="23"/>
          <w:spacing w:val="81"/>
          <w:position w:val="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"/>
          <w:position w:val="16"/>
        </w:rPr>
        <w:t>以对本项目</w:t>
      </w:r>
    </w:p>
    <w:p>
      <w:pPr>
        <w:spacing w:before="1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1"/>
        </w:rPr>
        <w:t>行全面的研究和设计；甲方应当予以配合。</w:t>
      </w:r>
    </w:p>
    <w:p>
      <w:pPr>
        <w:ind w:left="450"/>
        <w:spacing w:before="187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"/>
        </w:rPr>
        <w:t>3、</w:t>
      </w:r>
      <w:r>
        <w:rPr>
          <w:rFonts w:ascii="FangSong" w:hAnsi="FangSong" w:eastAsia="FangSong" w:cs="FangSong"/>
          <w:sz w:val="23"/>
          <w:szCs w:val="23"/>
          <w:spacing w:val="-5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3"/>
        </w:rPr>
        <w:t>项目技术文件</w:t>
      </w:r>
    </w:p>
    <w:p>
      <w:pPr>
        <w:ind w:left="570"/>
        <w:spacing w:before="161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7"/>
        </w:rPr>
        <w:t>(1)项目需求分析完成后，乙方应当向甲方提交技术文件及时间安排。</w:t>
      </w:r>
    </w:p>
    <w:p>
      <w:pPr>
        <w:ind w:left="570"/>
        <w:spacing w:before="172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</w:rPr>
        <w:t>(2)技术文件经甲方签字确认后，作为本合同的附件。但甲方对技术文件的确</w:t>
      </w:r>
    </w:p>
    <w:p>
      <w:pPr>
        <w:ind w:left="110"/>
        <w:spacing w:before="176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3"/>
        </w:rPr>
        <w:t>,并不代表免除乙方对技术问题所应承担的相应责任。</w:t>
      </w:r>
    </w:p>
    <w:p>
      <w:pPr>
        <w:ind w:left="450"/>
        <w:spacing w:before="200" w:line="224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5"/>
        </w:rPr>
        <w:t>4、</w:t>
      </w:r>
      <w:r>
        <w:rPr>
          <w:rFonts w:ascii="FangSong" w:hAnsi="FangSong" w:eastAsia="FangSong" w:cs="FangSong"/>
          <w:sz w:val="23"/>
          <w:szCs w:val="23"/>
          <w:spacing w:val="-5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5"/>
        </w:rPr>
        <w:t>项目变更</w:t>
      </w:r>
    </w:p>
    <w:p>
      <w:pPr>
        <w:ind w:right="64" w:firstLine="570"/>
        <w:spacing w:before="155" w:line="354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</w:rPr>
        <w:t>(1)甲乙双方协商一致后，可以在本合同履行过程中提出变更、扩展、替换或</w:t>
      </w:r>
      <w:r>
        <w:rPr>
          <w:rFonts w:ascii="FangSong" w:hAnsi="FangSong" w:eastAsia="FangSong" w:cs="FangSong"/>
          <w:sz w:val="23"/>
          <w:szCs w:val="23"/>
          <w:spacing w:val="1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7"/>
        </w:rPr>
        <w:t>修改本项目服务内容的建议。本合同履行过程中的重大变</w:t>
      </w:r>
      <w:r>
        <w:rPr>
          <w:rFonts w:ascii="FangSong" w:hAnsi="FangSong" w:eastAsia="FangSong" w:cs="FangSong"/>
          <w:sz w:val="23"/>
          <w:szCs w:val="23"/>
          <w:spacing w:val="6"/>
        </w:rPr>
        <w:t>更(包括但不限于信息系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统性能、项目实施计划、合同价款、交付日期等),甲乙双方应当以书面形式予以</w:t>
      </w:r>
    </w:p>
    <w:p>
      <w:pPr>
        <w:spacing w:before="1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</w:rPr>
        <w:t>确定。因变更导致合同价款的增减，由双方通过补充协议方式明确。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574"/>
        <w:spacing w:before="95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21"/>
        </w:rPr>
        <w:t>第四条项目交付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ind w:left="450"/>
        <w:spacing w:before="76" w:line="439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"/>
          <w:position w:val="15"/>
        </w:rPr>
        <w:t>1、乙方应当按照本合同及附件约定的内容进行云化交付，所交付的文档与文件</w:t>
      </w:r>
    </w:p>
    <w:p>
      <w:pPr>
        <w:spacing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</w:rPr>
        <w:t>应当包括纸质文件及电子版式并可供阅读。</w:t>
      </w:r>
    </w:p>
    <w:p>
      <w:pPr>
        <w:ind w:left="450"/>
        <w:spacing w:before="165" w:line="443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  <w:position w:val="16"/>
        </w:rPr>
        <w:t>2、</w:t>
      </w:r>
      <w:r>
        <w:rPr>
          <w:rFonts w:ascii="FangSong" w:hAnsi="FangSong" w:eastAsia="FangSong" w:cs="FangSong"/>
          <w:sz w:val="23"/>
          <w:szCs w:val="23"/>
          <w:spacing w:val="-46"/>
          <w:position w:val="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"/>
          <w:position w:val="16"/>
        </w:rPr>
        <w:t>乙方应在2022年8月25日前完成建设并开始试运营，2022年10月31日前验收</w:t>
      </w:r>
    </w:p>
    <w:p>
      <w:pPr>
        <w:spacing w:before="1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4"/>
        </w:rPr>
        <w:t>合格。</w:t>
      </w:r>
    </w:p>
    <w:p>
      <w:pPr>
        <w:ind w:left="450"/>
        <w:spacing w:before="159" w:line="444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  <w:position w:val="16"/>
        </w:rPr>
        <w:t>3、</w:t>
      </w:r>
      <w:r>
        <w:rPr>
          <w:rFonts w:ascii="FangSong" w:hAnsi="FangSong" w:eastAsia="FangSong" w:cs="FangSong"/>
          <w:sz w:val="23"/>
          <w:szCs w:val="23"/>
          <w:spacing w:val="-16"/>
          <w:position w:val="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"/>
          <w:position w:val="16"/>
        </w:rPr>
        <w:t>乙方应当在交付2个工作日前以书面方式通知甲方，</w:t>
      </w:r>
      <w:r>
        <w:rPr>
          <w:rFonts w:ascii="FangSong" w:hAnsi="FangSong" w:eastAsia="FangSong" w:cs="FangSong"/>
          <w:sz w:val="23"/>
          <w:szCs w:val="23"/>
          <w:spacing w:val="1"/>
          <w:position w:val="16"/>
        </w:rPr>
        <w:t>甲方应当在接到通知后</w:t>
      </w:r>
    </w:p>
    <w:p>
      <w:pPr>
        <w:spacing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及时安排交付事宜。</w:t>
      </w:r>
    </w:p>
    <w:p>
      <w:pPr>
        <w:ind w:right="51" w:firstLine="450"/>
        <w:spacing w:before="161" w:line="354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4、</w:t>
      </w:r>
      <w:r>
        <w:rPr>
          <w:rFonts w:ascii="FangSong" w:hAnsi="FangSong" w:eastAsia="FangSong" w:cs="FangSong"/>
          <w:sz w:val="23"/>
          <w:szCs w:val="23"/>
          <w:spacing w:val="-68"/>
        </w:rPr>
        <w:t xml:space="preserve"> </w:t>
      </w:r>
      <w:r>
        <w:rPr>
          <w:rFonts w:ascii="FangSong" w:hAnsi="FangSong" w:eastAsia="FangSong" w:cs="FangSong"/>
          <w:sz w:val="23"/>
          <w:szCs w:val="23"/>
        </w:rPr>
        <w:t>因甲方原因导致交付不能按时进行的，乙方可相应顺延交</w:t>
      </w:r>
      <w:r>
        <w:rPr>
          <w:rFonts w:ascii="FangSong" w:hAnsi="FangSong" w:eastAsia="FangSong" w:cs="FangSong"/>
          <w:sz w:val="23"/>
          <w:szCs w:val="23"/>
          <w:spacing w:val="-1"/>
        </w:rPr>
        <w:t>付日期，造成乙方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"/>
        </w:rPr>
        <w:t>损失的，甲方应当承担赔偿责任。甲方无正当理由未在约定期限内组织交付或提出</w:t>
      </w:r>
    </w:p>
    <w:p>
      <w:pPr>
        <w:spacing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5"/>
        </w:rPr>
        <w:t>修改意见的，</w:t>
      </w:r>
      <w:r>
        <w:rPr>
          <w:rFonts w:ascii="FangSong" w:hAnsi="FangSong" w:eastAsia="FangSong" w:cs="FangSong"/>
          <w:sz w:val="23"/>
          <w:szCs w:val="23"/>
          <w:spacing w:val="6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5"/>
        </w:rPr>
        <w:t>自期限届满之日起视为本项目交付完成。</w:t>
      </w:r>
    </w:p>
    <w:p>
      <w:pPr>
        <w:ind w:left="450"/>
        <w:spacing w:before="161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"/>
        </w:rPr>
        <w:t>5、</w:t>
      </w:r>
      <w:r>
        <w:rPr>
          <w:rFonts w:ascii="FangSong" w:hAnsi="FangSong" w:eastAsia="FangSong" w:cs="FangSong"/>
          <w:sz w:val="23"/>
          <w:szCs w:val="23"/>
          <w:spacing w:val="-2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"/>
        </w:rPr>
        <w:t>因乙方原因导致交付不能按时进行的，乙方应当承担赔偿责任。</w:t>
      </w:r>
    </w:p>
    <w:p>
      <w:pPr>
        <w:ind w:left="450"/>
        <w:spacing w:before="166" w:line="439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  <w:position w:val="15"/>
        </w:rPr>
        <w:t>6、</w:t>
      </w:r>
      <w:r>
        <w:rPr>
          <w:rFonts w:ascii="FangSong" w:hAnsi="FangSong" w:eastAsia="FangSong" w:cs="FangSong"/>
          <w:sz w:val="23"/>
          <w:szCs w:val="23"/>
          <w:spacing w:val="-27"/>
          <w:position w:val="1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  <w:position w:val="15"/>
        </w:rPr>
        <w:t>自终验日起，进入正式服务周期，开始计算服务周期时间。服务</w:t>
      </w:r>
      <w:r>
        <w:rPr>
          <w:rFonts w:ascii="FangSong" w:hAnsi="FangSong" w:eastAsia="FangSong" w:cs="FangSong"/>
          <w:sz w:val="23"/>
          <w:szCs w:val="23"/>
          <w:spacing w:val="-2"/>
          <w:position w:val="15"/>
        </w:rPr>
        <w:t>期间，无线</w:t>
      </w:r>
    </w:p>
    <w:p>
      <w:pPr>
        <w:spacing w:before="1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</w:rPr>
        <w:t>校园网硬件设备及软件系统所有权归乙方所有，甲方负责系统的保管与安全管理。</w:t>
      </w:r>
    </w:p>
    <w:p>
      <w:pPr>
        <w:sectPr>
          <w:headerReference w:type="default" r:id="rId7"/>
          <w:footerReference w:type="default" r:id="rId8"/>
          <w:pgSz w:w="11900" w:h="16820"/>
          <w:pgMar w:top="2058" w:right="1785" w:bottom="1692" w:left="1619" w:header="1961" w:footer="1478" w:gutter="0"/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28"/>
        <w:spacing w:before="71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u w:val="single" w:color="auto"/>
          <w:spacing w:val="22"/>
        </w:rPr>
        <w:t>全l编号</w:t>
      </w:r>
      <w:r>
        <w:rPr>
          <w:rFonts w:ascii="SimSun" w:hAnsi="SimSun" w:eastAsia="SimSun" w:cs="SimSun"/>
          <w:sz w:val="22"/>
          <w:szCs w:val="22"/>
          <w:u w:val="single" w:color="auto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u w:val="single" w:color="auto"/>
          <w:spacing w:val="22"/>
        </w:rPr>
        <w:t>·</w:t>
      </w:r>
      <w:r>
        <w:rPr>
          <w:rFonts w:ascii="SimSun" w:hAnsi="SimSun" w:eastAsia="SimSun" w:cs="SimSun"/>
          <w:sz w:val="22"/>
          <w:szCs w:val="22"/>
          <w:u w:val="single" w:color="auto"/>
          <w:spacing w:val="-5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u w:val="single" w:color="auto"/>
        </w:rPr>
        <w:t>IC</w:t>
      </w:r>
      <w:r>
        <w:rPr>
          <w:rFonts w:ascii="SimSun" w:hAnsi="SimSun" w:eastAsia="SimSun" w:cs="SimSun"/>
          <w:sz w:val="22"/>
          <w:szCs w:val="22"/>
          <w:b/>
          <w:bCs/>
          <w:u w:val="single" w:color="auto"/>
          <w:spacing w:val="22"/>
        </w:rPr>
        <w:t>21-5001-2022-0005</w:t>
      </w:r>
      <w:r>
        <w:rPr>
          <w:rFonts w:ascii="SimSun" w:hAnsi="SimSun" w:eastAsia="SimSun" w:cs="SimSun"/>
          <w:sz w:val="22"/>
          <w:szCs w:val="22"/>
          <w:b/>
          <w:bCs/>
          <w:u w:val="single" w:color="auto"/>
          <w:spacing w:val="21"/>
        </w:rPr>
        <w:t>3</w:t>
      </w:r>
      <w:r>
        <w:rPr>
          <w:rFonts w:ascii="SimSun" w:hAnsi="SimSun" w:eastAsia="SimSun" w:cs="SimSun"/>
          <w:sz w:val="22"/>
          <w:szCs w:val="22"/>
          <w:u w:val="single" w:color="auto"/>
          <w:spacing w:val="2"/>
        </w:rPr>
        <w:t xml:space="preserve">                           </w:t>
      </w:r>
      <w:r>
        <w:rPr>
          <w:sz w:val="22"/>
          <w:szCs w:val="22"/>
          <w:position w:val="-9"/>
        </w:rPr>
        <w:drawing>
          <wp:inline distT="0" distB="0" distL="0" distR="0">
            <wp:extent cx="996929" cy="32383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29" cy="3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4"/>
        <w:spacing w:before="6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2"/>
        </w:rPr>
        <w:t>服务期满，无线校园网硬件设备及软件系统所有权划归甲方所有。</w:t>
      </w:r>
    </w:p>
    <w:p>
      <w:pPr>
        <w:ind w:left="565"/>
        <w:spacing w:before="184" w:line="452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9"/>
          <w:position w:val="17"/>
        </w:rPr>
        <w:t>7、</w:t>
      </w:r>
      <w:r>
        <w:rPr>
          <w:rFonts w:ascii="FangSong" w:hAnsi="FangSong" w:eastAsia="FangSong" w:cs="FangSong"/>
          <w:sz w:val="22"/>
          <w:szCs w:val="22"/>
          <w:spacing w:val="-52"/>
          <w:position w:val="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9"/>
          <w:position w:val="17"/>
        </w:rPr>
        <w:t>服务期间，乙方接到运维服务要求时，必须半小时内到达现场处置。运维服</w:t>
      </w:r>
    </w:p>
    <w:p>
      <w:pPr>
        <w:ind w:left="124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务时间每周7天，每天8:30-22:30为服务提供时间。</w:t>
      </w:r>
    </w:p>
    <w:p>
      <w:pPr>
        <w:ind w:left="565"/>
        <w:spacing w:before="184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0"/>
        </w:rPr>
        <w:t>8、</w:t>
      </w:r>
      <w:r>
        <w:rPr>
          <w:rFonts w:ascii="FangSong" w:hAnsi="FangSong" w:eastAsia="FangSong" w:cs="FangSong"/>
          <w:sz w:val="22"/>
          <w:szCs w:val="22"/>
          <w:spacing w:val="-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0"/>
        </w:rPr>
        <w:t>服务期满后甲方需乙方继续提供服务的，应当另行签订协议。</w:t>
      </w:r>
    </w:p>
    <w:p>
      <w:pPr>
        <w:ind w:left="565"/>
        <w:spacing w:before="187" w:line="451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1"/>
          <w:position w:val="17"/>
        </w:rPr>
        <w:t>9、无线校园网运营租用期限3年，3年后无线校园</w:t>
      </w:r>
      <w:r>
        <w:rPr>
          <w:rFonts w:ascii="FangSong" w:hAnsi="FangSong" w:eastAsia="FangSong" w:cs="FangSong"/>
          <w:sz w:val="22"/>
          <w:szCs w:val="22"/>
          <w:spacing w:val="10"/>
          <w:position w:val="17"/>
        </w:rPr>
        <w:t>网设备及认证系统等全部资产</w:t>
      </w:r>
    </w:p>
    <w:p>
      <w:pPr>
        <w:ind w:left="124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无偿移交学院。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678"/>
        <w:spacing w:before="73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第</w:t>
      </w:r>
      <w:r>
        <w:rPr>
          <w:rFonts w:ascii="FangSong" w:hAnsi="FangSong" w:eastAsia="FangSong" w:cs="FangSong"/>
          <w:sz w:val="22"/>
          <w:szCs w:val="22"/>
          <w:spacing w:val="21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五</w:t>
      </w:r>
      <w:r>
        <w:rPr>
          <w:rFonts w:ascii="FangSong" w:hAnsi="FangSong" w:eastAsia="FangSong" w:cs="FangSong"/>
          <w:sz w:val="22"/>
          <w:szCs w:val="22"/>
          <w:spacing w:val="20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条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项</w:t>
      </w:r>
      <w:r>
        <w:rPr>
          <w:rFonts w:ascii="FangSong" w:hAnsi="FangSong" w:eastAsia="FangSong" w:cs="FangSong"/>
          <w:sz w:val="22"/>
          <w:szCs w:val="22"/>
          <w:spacing w:val="56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目</w:t>
      </w:r>
      <w:r>
        <w:rPr>
          <w:rFonts w:ascii="FangSong" w:hAnsi="FangSong" w:eastAsia="FangSong" w:cs="FangSong"/>
          <w:sz w:val="22"/>
          <w:szCs w:val="22"/>
          <w:spacing w:val="19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培</w:t>
      </w:r>
      <w:r>
        <w:rPr>
          <w:rFonts w:ascii="FangSong" w:hAnsi="FangSong" w:eastAsia="FangSong" w:cs="FangSong"/>
          <w:sz w:val="22"/>
          <w:szCs w:val="22"/>
          <w:spacing w:val="19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3"/>
        </w:rPr>
        <w:t>训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565"/>
        <w:spacing w:before="71" w:line="439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2"/>
          <w:position w:val="16"/>
        </w:rPr>
        <w:t>1、</w:t>
      </w:r>
      <w:r>
        <w:rPr>
          <w:rFonts w:ascii="FangSong" w:hAnsi="FangSong" w:eastAsia="FangSong" w:cs="FangSong"/>
          <w:sz w:val="22"/>
          <w:szCs w:val="22"/>
          <w:spacing w:val="-34"/>
          <w:position w:val="1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  <w:position w:val="16"/>
        </w:rPr>
        <w:t>乙方应当根据项目实施计划、进度和系统实际运行</w:t>
      </w:r>
      <w:r>
        <w:rPr>
          <w:rFonts w:ascii="FangSong" w:hAnsi="FangSong" w:eastAsia="FangSong" w:cs="FangSong"/>
          <w:sz w:val="22"/>
          <w:szCs w:val="22"/>
          <w:spacing w:val="11"/>
          <w:position w:val="16"/>
        </w:rPr>
        <w:t>的需要，及时培训甲方</w:t>
      </w:r>
    </w:p>
    <w:p>
      <w:pPr>
        <w:ind w:left="124"/>
        <w:spacing w:before="1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2"/>
        </w:rPr>
        <w:t>技术人员。培训目标为甲方技术人员能够熟练掌握系统的操作技能。</w:t>
      </w:r>
    </w:p>
    <w:p>
      <w:pPr>
        <w:ind w:left="565"/>
        <w:spacing w:before="177" w:line="443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0"/>
          <w:position w:val="16"/>
        </w:rPr>
        <w:t>2.</w:t>
      </w:r>
      <w:r>
        <w:rPr>
          <w:rFonts w:ascii="FangSong" w:hAnsi="FangSong" w:eastAsia="FangSong" w:cs="FangSong"/>
          <w:sz w:val="22"/>
          <w:szCs w:val="22"/>
          <w:spacing w:val="32"/>
          <w:position w:val="1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0"/>
          <w:position w:val="16"/>
        </w:rPr>
        <w:t>乙方培训时应当提供操作说明等技术资料。如未能达到培训目标的，乙方应</w:t>
      </w:r>
    </w:p>
    <w:p>
      <w:pPr>
        <w:ind w:left="124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当按照甲方的要求提供</w:t>
      </w:r>
      <w:r>
        <w:rPr>
          <w:rFonts w:ascii="FangSong" w:hAnsi="FangSong" w:eastAsia="FangSong" w:cs="FangSong"/>
          <w:sz w:val="22"/>
          <w:szCs w:val="22"/>
          <w:spacing w:val="-94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-87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5"/>
        </w:rPr>
        <w:t>1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47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5"/>
        </w:rPr>
        <w:t>次免费的再培训。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678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第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六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条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项</w:t>
      </w:r>
      <w:r>
        <w:rPr>
          <w:rFonts w:ascii="FangSong" w:hAnsi="FangSong" w:eastAsia="FangSong" w:cs="FangSong"/>
          <w:sz w:val="22"/>
          <w:szCs w:val="22"/>
          <w:spacing w:val="49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目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考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核</w:t>
      </w:r>
      <w:r>
        <w:rPr>
          <w:rFonts w:ascii="FangSong" w:hAnsi="FangSong" w:eastAsia="FangSong" w:cs="FangSong"/>
          <w:sz w:val="22"/>
          <w:szCs w:val="22"/>
          <w:spacing w:val="15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方</w:t>
      </w:r>
      <w:r>
        <w:rPr>
          <w:rFonts w:ascii="FangSong" w:hAnsi="FangSong" w:eastAsia="FangSong" w:cs="FangSong"/>
          <w:sz w:val="22"/>
          <w:szCs w:val="22"/>
          <w:spacing w:val="15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2"/>
        </w:rPr>
        <w:t>式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565"/>
        <w:spacing w:before="72" w:line="450" w:lineRule="exac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1"/>
          <w:position w:val="17"/>
        </w:rPr>
        <w:t>1、</w:t>
      </w:r>
      <w:r>
        <w:rPr>
          <w:rFonts w:ascii="FangSong" w:hAnsi="FangSong" w:eastAsia="FangSong" w:cs="FangSong"/>
          <w:sz w:val="22"/>
          <w:szCs w:val="22"/>
          <w:spacing w:val="-42"/>
          <w:position w:val="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1"/>
          <w:position w:val="17"/>
        </w:rPr>
        <w:t>互联网出口链路故障时限当月累积达到24小时以上，作为考核指标，乙方</w:t>
      </w:r>
    </w:p>
    <w:p>
      <w:pPr>
        <w:ind w:left="285"/>
        <w:spacing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6"/>
        </w:rPr>
        <w:t>次性减免该月全额租赁费。</w:t>
      </w:r>
    </w:p>
    <w:p>
      <w:pPr>
        <w:ind w:left="124" w:right="298" w:firstLine="440"/>
        <w:spacing w:before="187" w:line="378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7"/>
        </w:rPr>
        <w:t>2、</w:t>
      </w:r>
      <w:r>
        <w:rPr>
          <w:rFonts w:ascii="FangSong" w:hAnsi="FangSong" w:eastAsia="FangSong" w:cs="FangSong"/>
          <w:sz w:val="22"/>
          <w:szCs w:val="22"/>
          <w:spacing w:val="-1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7"/>
        </w:rPr>
        <w:t>无线校园网必须达到无线校园网运维服务目标(以下简称服务目标)。在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9"/>
        </w:rPr>
        <w:t>营过程中未达服务目标，乙方应在接到甲方整改要求后的3天内完成整改。如整</w:t>
      </w:r>
    </w:p>
    <w:p>
      <w:pPr>
        <w:ind w:left="124"/>
        <w:spacing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2"/>
        </w:rPr>
        <w:t>改后5天内仍达不到要求，乙方一次性减免该租赁项目当月5</w:t>
      </w:r>
      <w:r>
        <w:rPr>
          <w:rFonts w:ascii="FangSong" w:hAnsi="FangSong" w:eastAsia="FangSong" w:cs="FangSong"/>
          <w:sz w:val="22"/>
          <w:szCs w:val="22"/>
          <w:spacing w:val="11"/>
        </w:rPr>
        <w:t>0%租赁费。</w:t>
      </w:r>
    </w:p>
    <w:p>
      <w:pPr>
        <w:ind w:left="565"/>
        <w:spacing w:before="209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1"/>
        </w:rPr>
        <w:t>无线校园网运维服务目标</w:t>
      </w:r>
    </w:p>
    <w:p>
      <w:pPr>
        <w:spacing w:line="75" w:lineRule="exact"/>
        <w:rPr/>
      </w:pPr>
      <w:r/>
    </w:p>
    <w:tbl>
      <w:tblPr>
        <w:tblStyle w:val="2"/>
        <w:tblW w:w="867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602"/>
        <w:gridCol w:w="1268"/>
        <w:gridCol w:w="2996"/>
        <w:gridCol w:w="1813"/>
      </w:tblGrid>
      <w:tr>
        <w:trPr>
          <w:trHeight w:val="294" w:hRule="atLeast"/>
        </w:trPr>
        <w:tc>
          <w:tcPr>
            <w:tcW w:w="2602" w:type="dxa"/>
            <w:vAlign w:val="top"/>
          </w:tcPr>
          <w:p>
            <w:pPr>
              <w:ind w:left="767"/>
              <w:spacing w:before="50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运维服务项</w:t>
            </w:r>
          </w:p>
        </w:tc>
        <w:tc>
          <w:tcPr>
            <w:shd w:val="clear" w:fill="E8E8E8"/>
            <w:tcW w:w="1268" w:type="dxa"/>
            <w:vAlign w:val="top"/>
          </w:tcPr>
          <w:p>
            <w:pPr>
              <w:ind w:left="415"/>
              <w:spacing w:before="50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5"/>
              </w:rPr>
              <w:t>指标</w:t>
            </w:r>
          </w:p>
        </w:tc>
        <w:tc>
          <w:tcPr>
            <w:shd w:val="clear" w:fill="E4E4E4"/>
            <w:tcW w:w="2996" w:type="dxa"/>
            <w:vAlign w:val="top"/>
          </w:tcPr>
          <w:p>
            <w:pPr>
              <w:ind w:left="1287"/>
              <w:spacing w:before="2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5"/>
              </w:rPr>
              <w:t>定义</w:t>
            </w:r>
          </w:p>
        </w:tc>
        <w:tc>
          <w:tcPr>
            <w:shd w:val="clear" w:fill="E7E7E7"/>
            <w:tcW w:w="1813" w:type="dxa"/>
            <w:vAlign w:val="top"/>
          </w:tcPr>
          <w:p>
            <w:pPr>
              <w:ind w:left="501"/>
              <w:spacing w:before="50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数据来源</w:t>
            </w:r>
          </w:p>
        </w:tc>
      </w:tr>
      <w:tr>
        <w:trPr>
          <w:trHeight w:val="687" w:hRule="atLeast"/>
        </w:trPr>
        <w:tc>
          <w:tcPr>
            <w:tcW w:w="2602" w:type="dxa"/>
            <w:vAlign w:val="top"/>
          </w:tcPr>
          <w:p>
            <w:pPr>
              <w:ind w:left="155"/>
              <w:spacing w:before="249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线校园网链路完好率</w:t>
            </w:r>
          </w:p>
        </w:tc>
        <w:tc>
          <w:tcPr>
            <w:tcW w:w="1268" w:type="dxa"/>
            <w:vAlign w:val="top"/>
          </w:tcPr>
          <w:p>
            <w:pPr>
              <w:ind w:left="112"/>
              <w:spacing w:before="268" w:line="23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≥95%</w:t>
            </w:r>
          </w:p>
        </w:tc>
        <w:tc>
          <w:tcPr>
            <w:tcW w:w="2996" w:type="dxa"/>
            <w:vAlign w:val="top"/>
          </w:tcPr>
          <w:p>
            <w:pPr>
              <w:ind w:left="104" w:right="111"/>
              <w:spacing w:before="108" w:line="26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POE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>交换机到</w:t>
            </w:r>
            <w:r>
              <w:rPr>
                <w:rFonts w:ascii="SimSun" w:hAnsi="SimSun" w:eastAsia="SimSun" w:cs="SimSun"/>
                <w:sz w:val="20"/>
                <w:szCs w:val="20"/>
              </w:rPr>
              <w:t>AP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>设备之间的链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路</w:t>
            </w:r>
          </w:p>
        </w:tc>
        <w:tc>
          <w:tcPr>
            <w:tcW w:w="1813" w:type="dxa"/>
            <w:vAlign w:val="top"/>
          </w:tcPr>
          <w:p>
            <w:pPr>
              <w:ind w:left="119"/>
              <w:spacing w:before="249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网管系统</w:t>
            </w:r>
          </w:p>
        </w:tc>
      </w:tr>
      <w:tr>
        <w:trPr>
          <w:trHeight w:val="379" w:hRule="atLeast"/>
        </w:trPr>
        <w:tc>
          <w:tcPr>
            <w:tcW w:w="2602" w:type="dxa"/>
            <w:vAlign w:val="top"/>
          </w:tcPr>
          <w:p>
            <w:pPr>
              <w:ind w:left="155"/>
              <w:spacing w:before="9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技园无线网信号强度</w:t>
            </w:r>
          </w:p>
        </w:tc>
        <w:tc>
          <w:tcPr>
            <w:tcW w:w="1268" w:type="dxa"/>
            <w:vAlign w:val="top"/>
          </w:tcPr>
          <w:p>
            <w:pPr>
              <w:ind w:left="112"/>
              <w:spacing w:before="111" w:line="23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≥-75dbm</w:t>
            </w:r>
          </w:p>
        </w:tc>
        <w:tc>
          <w:tcPr>
            <w:tcW w:w="2996" w:type="dxa"/>
            <w:vAlign w:val="top"/>
          </w:tcPr>
          <w:p>
            <w:pPr>
              <w:ind w:left="104"/>
              <w:spacing w:before="9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无线覆盖信号指标</w:t>
            </w:r>
          </w:p>
        </w:tc>
        <w:tc>
          <w:tcPr>
            <w:tcW w:w="1813" w:type="dxa"/>
            <w:vAlign w:val="top"/>
          </w:tcPr>
          <w:p>
            <w:pPr>
              <w:ind w:left="119"/>
              <w:spacing w:before="92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系统与现场测试</w:t>
            </w:r>
          </w:p>
        </w:tc>
      </w:tr>
      <w:tr>
        <w:trPr>
          <w:trHeight w:val="688" w:hRule="atLeast"/>
        </w:trPr>
        <w:tc>
          <w:tcPr>
            <w:tcW w:w="2602" w:type="dxa"/>
            <w:vAlign w:val="top"/>
          </w:tcPr>
          <w:p>
            <w:pPr>
              <w:ind w:left="155"/>
              <w:spacing w:before="25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工装网室内覆盖范围</w:t>
            </w:r>
          </w:p>
        </w:tc>
        <w:tc>
          <w:tcPr>
            <w:tcW w:w="1268" w:type="dxa"/>
            <w:vAlign w:val="top"/>
          </w:tcPr>
          <w:p>
            <w:pPr>
              <w:ind w:left="112"/>
              <w:spacing w:before="272" w:line="23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≥98%</w:t>
            </w:r>
          </w:p>
        </w:tc>
        <w:tc>
          <w:tcPr>
            <w:tcW w:w="2996" w:type="dxa"/>
            <w:vAlign w:val="top"/>
          </w:tcPr>
          <w:p>
            <w:pPr>
              <w:ind w:left="104"/>
              <w:spacing w:before="103" w:line="27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覆盖区域包含：办公楼、教学楼、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图书馆、实验楼、学生宿舍。</w:t>
            </w:r>
          </w:p>
        </w:tc>
        <w:tc>
          <w:tcPr>
            <w:tcW w:w="1813" w:type="dxa"/>
            <w:vAlign w:val="top"/>
          </w:tcPr>
          <w:p>
            <w:pPr>
              <w:ind w:left="119"/>
              <w:spacing w:before="254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系统</w:t>
            </w:r>
          </w:p>
        </w:tc>
      </w:tr>
      <w:tr>
        <w:trPr>
          <w:trHeight w:val="1032" w:hRule="atLeast"/>
        </w:trPr>
        <w:tc>
          <w:tcPr>
            <w:tcW w:w="2602" w:type="dxa"/>
            <w:vAlign w:val="top"/>
          </w:tcPr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ind w:left="155"/>
              <w:spacing w:before="65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我网室外覆盖范围</w:t>
            </w:r>
          </w:p>
        </w:tc>
        <w:tc>
          <w:tcPr>
            <w:tcW w:w="1268" w:type="dxa"/>
            <w:vAlign w:val="top"/>
          </w:tcPr>
          <w:p>
            <w:pPr>
              <w:spacing w:line="377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3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≥85%</w:t>
            </w:r>
          </w:p>
        </w:tc>
        <w:tc>
          <w:tcPr>
            <w:tcW w:w="2996" w:type="dxa"/>
            <w:vAlign w:val="top"/>
          </w:tcPr>
          <w:p>
            <w:pPr>
              <w:ind w:left="104" w:right="89"/>
              <w:spacing w:before="95" w:line="288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覆盖区域包含：操场、体育馆及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校内存在用户使用无线服务的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空旷场所。</w:t>
            </w:r>
          </w:p>
        </w:tc>
        <w:tc>
          <w:tcPr>
            <w:tcW w:w="1813" w:type="dxa"/>
            <w:vAlign w:val="top"/>
          </w:tcPr>
          <w:p>
            <w:pPr>
              <w:ind w:left="119"/>
              <w:spacing w:before="156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系统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9"/>
          <w:footerReference w:type="default" r:id="rId10"/>
          <w:pgSz w:w="11900" w:h="16820"/>
          <w:pgMar w:top="400" w:right="1705" w:bottom="1741" w:left="1504" w:header="0" w:footer="1479" w:gutter="0"/>
        </w:sectPr>
        <w:rPr/>
      </w:pPr>
    </w:p>
    <w:p>
      <w:pPr>
        <w:rPr/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5454659</wp:posOffset>
            </wp:positionH>
            <wp:positionV relativeFrom="page">
              <wp:posOffset>1054078</wp:posOffset>
            </wp:positionV>
            <wp:extent cx="1028666" cy="323839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666" cy="32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6" w:lineRule="exact"/>
        <w:rPr/>
      </w:pPr>
      <w:r/>
    </w:p>
    <w:tbl>
      <w:tblPr>
        <w:tblStyle w:val="2"/>
        <w:tblW w:w="867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92"/>
        <w:gridCol w:w="1278"/>
        <w:gridCol w:w="2976"/>
        <w:gridCol w:w="1833"/>
      </w:tblGrid>
      <w:tr>
        <w:trPr>
          <w:trHeight w:val="989" w:hRule="atLeast"/>
        </w:trPr>
        <w:tc>
          <w:tcPr>
            <w:tcW w:w="2592" w:type="dxa"/>
            <w:vAlign w:val="top"/>
            <w:tcBorders>
              <w:top w:val="none" w:color="000000" w:sz="2" w:space="0"/>
            </w:tcBorders>
          </w:tcPr>
          <w:p>
            <w:pPr>
              <w:spacing w:line="556" w:lineRule="auto"/>
              <w:tabs>
                <w:tab w:val="left" w:pos="350"/>
              </w:tabs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u w:val="single" w:color="auto"/>
              </w:rPr>
              <w:tab/>
            </w:r>
            <w:r>
              <w:rPr>
                <w:rFonts w:ascii="SimSun" w:hAnsi="SimSun" w:eastAsia="SimSun" w:cs="SimSun"/>
                <w:sz w:val="16"/>
                <w:szCs w:val="16"/>
                <w:u w:val="single" w:color="auto"/>
                <w:spacing w:val="3"/>
              </w:rPr>
              <w:t>编号：</w:t>
            </w:r>
            <w:r>
              <w:rPr>
                <w:rFonts w:ascii="SimSun" w:hAnsi="SimSun" w:eastAsia="SimSun" w:cs="SimSun"/>
                <w:sz w:val="16"/>
                <w:szCs w:val="16"/>
                <w:u w:val="single" w:color="auto"/>
              </w:rPr>
              <w:t>JC</w:t>
            </w:r>
            <w:r>
              <w:rPr>
                <w:rFonts w:ascii="SimSun" w:hAnsi="SimSun" w:eastAsia="SimSun" w:cs="SimSun"/>
                <w:sz w:val="16"/>
                <w:szCs w:val="16"/>
                <w:u w:val="single" w:color="auto"/>
                <w:spacing w:val="3"/>
              </w:rPr>
              <w:t>21-5001-2022-0005</w:t>
            </w:r>
            <w:r>
              <w:rPr>
                <w:rFonts w:ascii="SimSun" w:hAnsi="SimSun" w:eastAsia="SimSun" w:cs="SimSun"/>
                <w:sz w:val="16"/>
                <w:szCs w:val="16"/>
                <w:u w:val="single" w:color="auto"/>
              </w:rPr>
              <w:t>a</w:t>
            </w:r>
            <w:r>
              <w:rPr>
                <w:rFonts w:ascii="SimSun" w:hAnsi="SimSun" w:eastAsia="SimSun" w:cs="SimSun"/>
                <w:sz w:val="16"/>
                <w:szCs w:val="16"/>
              </w:rPr>
              <w:t>n</w:t>
            </w:r>
          </w:p>
          <w:p>
            <w:pPr>
              <w:ind w:left="370"/>
              <w:spacing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服务时间</w:t>
            </w:r>
          </w:p>
        </w:tc>
        <w:tc>
          <w:tcPr>
            <w:tcW w:w="1278" w:type="dxa"/>
            <w:vAlign w:val="top"/>
            <w:tcBorders>
              <w:top w:val="none" w:color="000000" w:sz="2" w:space="0"/>
            </w:tcBorders>
          </w:tcPr>
          <w:p>
            <w:pPr>
              <w:spacing w:line="464" w:lineRule="auto"/>
              <w:rPr>
                <w:rFonts w:ascii="Arial"/>
                <w:sz w:val="21"/>
              </w:rPr>
            </w:pPr>
            <w:r>
              <w:pict>
                <v:shape id="_x0000_s2" style="position:absolute;margin-left:-63.7482pt;margin-top:7.96948pt;mso-position-vertical-relative:top-margin-area;mso-position-horizontal-relative:right-margin-area;width:64pt;height:0.5pt;z-index:-251654144;" filled="false" strokecolor="#000000" strokeweight="0.50pt" coordsize="1280,10" coordorigin="0,0" path="m0,5l1279,5e">
                  <v:stroke joinstyle="miter" miterlimit="10"/>
                </v:shape>
              </w:pict>
            </w:r>
            <w:r/>
          </w:p>
          <w:p>
            <w:pPr>
              <w:ind w:left="102"/>
              <w:spacing w:before="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7*14</w:t>
            </w:r>
          </w:p>
        </w:tc>
        <w:tc>
          <w:tcPr>
            <w:tcW w:w="2976" w:type="dxa"/>
            <w:vAlign w:val="top"/>
            <w:tcBorders>
              <w:top w:val="none" w:color="000000" w:sz="2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>
              <w:pict>
                <v:shape id="_x0000_s3" style="position:absolute;margin-left:-148.55pt;margin-top:7.96948pt;mso-position-vertical-relative:top-margin-area;mso-position-horizontal-relative:right-margin-area;width:149pt;height:0.5pt;z-index:-251653120;" filled="false" strokecolor="#000000" strokeweight="0.50pt" coordsize="2980,10" coordorigin="0,0" path="m0,5l2979,5e">
                  <v:stroke joinstyle="miter" miterlimit="10"/>
                </v:shape>
              </w:pict>
            </w:r>
            <w:r/>
          </w:p>
          <w:p>
            <w:pPr>
              <w:ind w:left="125" w:right="224"/>
              <w:spacing w:before="68" w:line="27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每周7天，每天8:30~22:30为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服务提供时间</w:t>
            </w:r>
          </w:p>
        </w:tc>
        <w:tc>
          <w:tcPr>
            <w:tcW w:w="1833" w:type="dxa"/>
            <w:vAlign w:val="top"/>
            <w:tcBorders>
              <w:top w:val="none" w:color="000000" w:sz="2" w:space="0"/>
            </w:tcBorders>
          </w:tcPr>
          <w:p>
            <w:pPr>
              <w:ind w:left="139"/>
              <w:spacing w:before="292" w:line="46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pict>
                <v:shape id="_x0000_s4" style="position:absolute;margin-left:-91.2001pt;margin-top:7.96948pt;mso-position-vertical-relative:top-margin-area;mso-position-horizontal-relative:right-margin-area;width:91.5pt;height:0.5pt;z-index:251665408;" filled="false" strokecolor="#000000" strokeweight="0.50pt" coordsize="1830,10" coordorigin="0,0" path="m0,5l1829,5e">
                  <v:stroke joinstyle="miter" miterlimit="10"/>
                </v:shape>
              </w:pic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19"/>
              </w:rPr>
              <w:t>根据实际运行情</w:t>
            </w:r>
          </w:p>
          <w:p>
            <w:pPr>
              <w:ind w:left="139"/>
              <w:spacing w:before="1" w:line="20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况</w:t>
            </w:r>
          </w:p>
        </w:tc>
      </w:tr>
      <w:tr>
        <w:trPr>
          <w:trHeight w:val="388" w:hRule="atLeast"/>
        </w:trPr>
        <w:tc>
          <w:tcPr>
            <w:tcW w:w="2592" w:type="dxa"/>
            <w:vAlign w:val="top"/>
          </w:tcPr>
          <w:p>
            <w:pPr>
              <w:ind w:left="135"/>
              <w:spacing w:before="9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书件4小时处结率</w:t>
            </w:r>
          </w:p>
        </w:tc>
        <w:tc>
          <w:tcPr>
            <w:tcW w:w="1278" w:type="dxa"/>
            <w:vAlign w:val="top"/>
          </w:tcPr>
          <w:p>
            <w:pPr>
              <w:ind w:left="102"/>
              <w:spacing w:before="114" w:line="23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≥90%</w:t>
            </w:r>
          </w:p>
        </w:tc>
        <w:tc>
          <w:tcPr>
            <w:tcW w:w="2976" w:type="dxa"/>
            <w:vAlign w:val="top"/>
          </w:tcPr>
          <w:p>
            <w:pPr>
              <w:ind w:left="125"/>
              <w:spacing w:before="9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4小时内处理的服务请求</w:t>
            </w:r>
          </w:p>
        </w:tc>
        <w:tc>
          <w:tcPr>
            <w:tcW w:w="1833" w:type="dxa"/>
            <w:vAlign w:val="top"/>
          </w:tcPr>
          <w:p>
            <w:pPr>
              <w:ind w:left="139"/>
              <w:spacing w:before="155" w:line="20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系统</w:t>
            </w:r>
          </w:p>
        </w:tc>
      </w:tr>
      <w:tr>
        <w:trPr>
          <w:trHeight w:val="382" w:hRule="atLeast"/>
        </w:trPr>
        <w:tc>
          <w:tcPr>
            <w:tcW w:w="2592" w:type="dxa"/>
            <w:vAlign w:val="top"/>
          </w:tcPr>
          <w:p>
            <w:pPr>
              <w:ind w:left="135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AP可用性</w:t>
            </w:r>
          </w:p>
        </w:tc>
        <w:tc>
          <w:tcPr>
            <w:tcW w:w="1278" w:type="dxa"/>
            <w:vAlign w:val="top"/>
          </w:tcPr>
          <w:p>
            <w:pPr>
              <w:ind w:left="102"/>
              <w:spacing w:before="176" w:line="19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≥95%</w:t>
            </w:r>
          </w:p>
        </w:tc>
        <w:tc>
          <w:tcPr>
            <w:tcW w:w="2976" w:type="dxa"/>
            <w:vAlign w:val="top"/>
          </w:tcPr>
          <w:p>
            <w:pPr>
              <w:ind w:left="125"/>
              <w:spacing w:before="9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当月无故障AP数/AP总数</w:t>
            </w:r>
          </w:p>
        </w:tc>
        <w:tc>
          <w:tcPr>
            <w:tcW w:w="1833" w:type="dxa"/>
            <w:vAlign w:val="top"/>
          </w:tcPr>
          <w:p>
            <w:pPr>
              <w:ind w:left="139"/>
              <w:spacing w:before="9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系统统计数据</w:t>
            </w:r>
          </w:p>
        </w:tc>
      </w:tr>
    </w:tbl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599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11"/>
        </w:rPr>
        <w:t>第七条知识产权和保密义务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575"/>
        <w:spacing w:before="78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0"/>
        </w:rPr>
        <w:t>1、知识产权</w:t>
      </w:r>
    </w:p>
    <w:p>
      <w:pPr>
        <w:ind w:left="595"/>
        <w:spacing w:before="158" w:line="453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  <w:position w:val="15"/>
        </w:rPr>
        <w:t>(1)甲乙双方应当对本合同所涉及的各种软</w:t>
      </w:r>
      <w:r>
        <w:rPr>
          <w:rFonts w:ascii="FangSong" w:hAnsi="FangSong" w:eastAsia="FangSong" w:cs="FangSong"/>
          <w:sz w:val="24"/>
          <w:szCs w:val="24"/>
          <w:spacing w:val="-6"/>
          <w:position w:val="15"/>
        </w:rPr>
        <w:t>件的知识产权进行约定，以保证本</w:t>
      </w:r>
    </w:p>
    <w:p>
      <w:pPr>
        <w:ind w:left="165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目使用的软件不会侵犯对方或第三方的知识产权。</w:t>
      </w:r>
    </w:p>
    <w:p>
      <w:pPr>
        <w:ind w:left="44" w:right="241" w:firstLine="550"/>
        <w:spacing w:before="157" w:line="34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(2)甲方保证，对本项目中选用的甲方原有软件拥有相应的使用、修改、升级</w:t>
      </w:r>
      <w:r>
        <w:rPr>
          <w:rFonts w:ascii="FangSong" w:hAnsi="FangSong" w:eastAsia="FangSong" w:cs="FangSong"/>
          <w:sz w:val="24"/>
          <w:szCs w:val="24"/>
          <w:spacing w:val="1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7"/>
        </w:rPr>
        <w:t>的权利，严格遵守知识产权及软件版权保护的法律、法规，并在本合同所约定的范</w:t>
      </w:r>
    </w:p>
    <w:p>
      <w:pPr>
        <w:ind w:left="44"/>
        <w:spacing w:before="1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围内使用本信息系统，否则应当承担相应的法律责任。</w:t>
      </w:r>
    </w:p>
    <w:p>
      <w:pPr>
        <w:ind w:left="44" w:right="155" w:firstLine="550"/>
        <w:spacing w:before="161" w:line="34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3"/>
        </w:rPr>
        <w:t>(3)乙方保证，对于其提供的软件系统拥有知识产权或已获得权利人的授权，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本项目使用乙方提供的软件不会侵犯第三方的合法</w:t>
      </w:r>
      <w:r>
        <w:rPr>
          <w:rFonts w:ascii="FangSong" w:hAnsi="FangSong" w:eastAsia="FangSong" w:cs="FangSong"/>
          <w:sz w:val="24"/>
          <w:szCs w:val="24"/>
          <w:spacing w:val="-7"/>
        </w:rPr>
        <w:t>权益，否则乙方应当负责处理索</w:t>
      </w:r>
    </w:p>
    <w:p>
      <w:pPr>
        <w:ind w:left="44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赔或涉诉等各项事宜，造成甲方损失的，乙方还应当承担赔偿责任。</w:t>
      </w:r>
    </w:p>
    <w:p>
      <w:pPr>
        <w:ind w:left="44" w:right="227" w:firstLine="550"/>
        <w:spacing w:before="161" w:line="346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(4)对于乙方许可甲方使用的软件，双方应当明确约定甲方拥有的使用权、修</w:t>
      </w:r>
      <w:r>
        <w:rPr>
          <w:rFonts w:ascii="FangSong" w:hAnsi="FangSong" w:eastAsia="FangSong" w:cs="FangSong"/>
          <w:sz w:val="24"/>
          <w:szCs w:val="24"/>
          <w:spacing w:val="1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改权、升级权的具体内容。甲方应当依约定使用，不得超出约定范</w:t>
      </w:r>
      <w:r>
        <w:rPr>
          <w:rFonts w:ascii="FangSong" w:hAnsi="FangSong" w:eastAsia="FangSong" w:cs="FangSong"/>
          <w:sz w:val="24"/>
          <w:szCs w:val="24"/>
          <w:spacing w:val="-7"/>
        </w:rPr>
        <w:t>围。除本合同另</w:t>
      </w:r>
    </w:p>
    <w:p>
      <w:pPr>
        <w:ind w:left="135"/>
        <w:spacing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约定外，甲方不得将被许可使用的软件再许可第三方使用。</w:t>
      </w:r>
    </w:p>
    <w:p>
      <w:pPr>
        <w:ind w:left="515"/>
        <w:spacing w:before="161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7"/>
        </w:rPr>
        <w:t>2、</w:t>
      </w:r>
      <w:r>
        <w:rPr>
          <w:rFonts w:ascii="FangSong" w:hAnsi="FangSong" w:eastAsia="FangSong" w:cs="FangSong"/>
          <w:sz w:val="24"/>
          <w:szCs w:val="24"/>
          <w:spacing w:val="-5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7"/>
        </w:rPr>
        <w:t>保密</w:t>
      </w:r>
    </w:p>
    <w:p>
      <w:pPr>
        <w:ind w:left="595"/>
        <w:spacing w:before="183" w:line="439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"/>
          <w:position w:val="14"/>
        </w:rPr>
        <w:t>(1)保密期限为本合同履行期间及本合同终止后3年。甲乙双方可另行约定保</w:t>
      </w:r>
    </w:p>
    <w:p>
      <w:pPr>
        <w:ind w:left="44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6"/>
        </w:rPr>
        <w:t>范围，作为附件。</w:t>
      </w:r>
    </w:p>
    <w:p>
      <w:pPr>
        <w:ind w:left="44" w:right="225" w:firstLine="550"/>
        <w:spacing w:before="154" w:line="33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(2)在保密期限内，甲乙双方均有为对方保密的义务。甲乙双方保证，因履行</w:t>
      </w:r>
      <w:r>
        <w:rPr>
          <w:rFonts w:ascii="FangSong" w:hAnsi="FangSong" w:eastAsia="FangSong" w:cs="FangSong"/>
          <w:sz w:val="24"/>
          <w:szCs w:val="24"/>
          <w:spacing w:val="1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本合同所获得的对方商业秘密，仅用于履行本合同项下的义务，并只为</w:t>
      </w:r>
      <w:r>
        <w:rPr>
          <w:rFonts w:ascii="FangSong" w:hAnsi="FangSong" w:eastAsia="FangSong" w:cs="FangSong"/>
          <w:sz w:val="24"/>
          <w:szCs w:val="24"/>
          <w:spacing w:val="-7"/>
        </w:rPr>
        <w:t>履行本合同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7"/>
        </w:rPr>
        <w:t>的相关人员所知悉。任何一方的相关人员违反保密义务的，由该人员所属一方承担</w:t>
      </w:r>
    </w:p>
    <w:p>
      <w:pPr>
        <w:ind w:left="44"/>
        <w:spacing w:before="1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9"/>
        </w:rPr>
        <w:t>全部法律责任；但法律另有规定的除外。</w:t>
      </w:r>
    </w:p>
    <w:p>
      <w:pPr>
        <w:ind w:left="595"/>
        <w:spacing w:before="151" w:line="439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  <w:position w:val="14"/>
        </w:rPr>
        <w:t>(3)本合同履行完毕后，甲乙双方均应当按照对方要求，处理所</w:t>
      </w:r>
      <w:r>
        <w:rPr>
          <w:rFonts w:ascii="FangSong" w:hAnsi="FangSong" w:eastAsia="FangSong" w:cs="FangSong"/>
          <w:sz w:val="24"/>
          <w:szCs w:val="24"/>
          <w:spacing w:val="-6"/>
          <w:position w:val="14"/>
        </w:rPr>
        <w:t>获得的对方有</w:t>
      </w:r>
    </w:p>
    <w:p>
      <w:pPr>
        <w:ind w:left="44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9"/>
        </w:rPr>
        <w:t>关资料信息或电子文档。</w:t>
      </w:r>
    </w:p>
    <w:p>
      <w:pPr>
        <w:sectPr>
          <w:footerReference w:type="default" r:id="rId12"/>
          <w:pgSz w:w="11900" w:h="16820"/>
          <w:pgMar w:top="400" w:right="1675" w:bottom="1692" w:left="1534" w:header="0" w:footer="1466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7456" behindDoc="0" locked="0" layoutInCell="0" allowOverlap="1">
                <wp:simplePos x="0" y="0"/>
                <wp:positionH relativeFrom="page">
                  <wp:posOffset>7359088</wp:posOffset>
                </wp:positionH>
                <wp:positionV relativeFrom="page">
                  <wp:posOffset>2272030</wp:posOffset>
                </wp:positionV>
                <wp:extent cx="170179" cy="22352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359088" y="2272030"/>
                          <a:ext cx="170179" cy="22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2" w:line="184" w:lineRule="auto"/>
                              <w:rPr>
                                <w:rFonts w:ascii="KaiTi" w:hAnsi="KaiTi" w:eastAsia="KaiTi" w:cs="KaiTi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KaiTi" w:hAnsi="KaiTi" w:eastAsia="KaiTi" w:cs="KaiTi"/>
                                <w:sz w:val="25"/>
                                <w:szCs w:val="25"/>
                                <w:spacing w:val="-12"/>
                                <w:w w:val="95"/>
                              </w:rPr>
                              <w:t>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margin-left:579.456pt;margin-top:178.9pt;mso-position-vertical-relative:page;mso-position-horizontal-relative:page;width:13.4pt;height:17.6pt;z-index:251667456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2" w:line="184" w:lineRule="auto"/>
                        <w:rPr>
                          <w:rFonts w:ascii="KaiTi" w:hAnsi="KaiTi" w:eastAsia="KaiTi" w:cs="KaiTi"/>
                          <w:sz w:val="25"/>
                          <w:szCs w:val="25"/>
                        </w:rPr>
                      </w:pPr>
                      <w:r>
                        <w:rPr>
                          <w:rFonts w:ascii="KaiTi" w:hAnsi="KaiTi" w:eastAsia="KaiTi" w:cs="KaiTi"/>
                          <w:sz w:val="25"/>
                          <w:szCs w:val="25"/>
                          <w:spacing w:val="-12"/>
                          <w:w w:val="95"/>
                        </w:rPr>
                        <w:t>汉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6" style="position:absolute;margin-left:577.202pt;margin-top:208.178pt;mso-position-vertical-relative:page;mso-position-horizontal-relative:page;width:18.45pt;height:63.3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36" w:lineRule="auto"/>
                    <w:rPr>
                      <w:rFonts w:ascii="SimSun" w:hAnsi="SimSun" w:eastAsia="SimSun" w:cs="SimSun"/>
                      <w:sz w:val="25"/>
                      <w:szCs w:val="25"/>
                    </w:rPr>
                  </w:pPr>
                  <w:r>
                    <w:rPr>
                      <w:rFonts w:ascii="SimSun" w:hAnsi="SimSun" w:eastAsia="SimSun" w:cs="SimSun"/>
                      <w:sz w:val="25"/>
                      <w:szCs w:val="25"/>
                      <w:spacing w:val="190"/>
                      <w:w w:val="175"/>
                    </w:rPr>
                    <w:t>712</w:t>
                  </w:r>
                </w:p>
              </w:txbxContent>
            </v:textbox>
          </v:shape>
        </w:pic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58" w:line="22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合</w:t>
      </w:r>
      <w:r>
        <w:rPr>
          <w:rFonts w:ascii="SimSun" w:hAnsi="SimSun" w:eastAsia="SimSun" w:cs="SimSun"/>
          <w:sz w:val="18"/>
          <w:szCs w:val="18"/>
          <w:u w:val="single" w:color="auto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品</w:t>
      </w:r>
      <w:r>
        <w:rPr>
          <w:rFonts w:ascii="SimSun" w:hAnsi="SimSun" w:eastAsia="SimSun" w:cs="SimSun"/>
          <w:sz w:val="18"/>
          <w:szCs w:val="18"/>
          <w:u w:val="single" w:color="auto"/>
          <w:spacing w:val="-9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：</w:t>
      </w:r>
      <w:r>
        <w:rPr>
          <w:rFonts w:ascii="SimSun" w:hAnsi="SimSun" w:eastAsia="SimSun" w:cs="SimSun"/>
          <w:sz w:val="18"/>
          <w:szCs w:val="18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T</w:t>
      </w:r>
      <w:r>
        <w:rPr>
          <w:rFonts w:ascii="SimSun" w:hAnsi="SimSun" w:eastAsia="SimSun" w:cs="SimSun"/>
          <w:sz w:val="18"/>
          <w:szCs w:val="18"/>
          <w:u w:val="single" w:color="auto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C</w:t>
      </w:r>
      <w:r>
        <w:rPr>
          <w:rFonts w:ascii="SimSun" w:hAnsi="SimSun" w:eastAsia="SimSun" w:cs="SimSun"/>
          <w:sz w:val="18"/>
          <w:szCs w:val="18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u w:val="single" w:color="auto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1</w:t>
      </w:r>
      <w:r>
        <w:rPr>
          <w:rFonts w:ascii="SimSun" w:hAnsi="SimSun" w:eastAsia="SimSun" w:cs="SimSun"/>
          <w:sz w:val="18"/>
          <w:szCs w:val="18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-</w:t>
      </w:r>
      <w:r>
        <w:rPr>
          <w:rFonts w:ascii="SimSun" w:hAnsi="SimSun" w:eastAsia="SimSun" w:cs="SimSun"/>
          <w:sz w:val="18"/>
          <w:szCs w:val="18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5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1</w:t>
      </w:r>
      <w:r>
        <w:rPr>
          <w:rFonts w:ascii="SimSun" w:hAnsi="SimSun" w:eastAsia="SimSun" w:cs="SimSun"/>
          <w:sz w:val="18"/>
          <w:szCs w:val="18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-</w:t>
      </w:r>
      <w:r>
        <w:rPr>
          <w:rFonts w:ascii="SimSun" w:hAnsi="SimSun" w:eastAsia="SimSun" w:cs="SimSun"/>
          <w:sz w:val="18"/>
          <w:szCs w:val="18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u w:val="single" w:color="auto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-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5</w:t>
      </w:r>
      <w:r>
        <w:rPr>
          <w:rFonts w:ascii="SimSun" w:hAnsi="SimSun" w:eastAsia="SimSun" w:cs="SimSun"/>
          <w:sz w:val="18"/>
          <w:szCs w:val="18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3</w:t>
      </w:r>
      <w:r>
        <w:rPr>
          <w:rFonts w:ascii="SimSun" w:hAnsi="SimSun" w:eastAsia="SimSun" w:cs="SimSun"/>
          <w:sz w:val="18"/>
          <w:szCs w:val="18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u w:val="single" w:color="auto"/>
        </w:rPr>
        <w:t xml:space="preserve">                                     </w:t>
      </w:r>
    </w:p>
    <w:p>
      <w:pPr>
        <w:ind w:left="614"/>
        <w:spacing w:before="117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21"/>
        </w:rPr>
        <w:t>第八条违约责任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460"/>
        <w:spacing w:before="75" w:line="459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  <w:position w:val="17"/>
        </w:rPr>
        <w:t>本合同生效后，甲乙双方均应当全面履行合同义务。任何一方违约，均应当按</w:t>
      </w:r>
    </w:p>
    <w:p>
      <w:pPr>
        <w:spacing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"/>
        </w:rPr>
        <w:t>照约定承担违约责任，并赔偿对方由此受到的损失。其中：</w:t>
      </w:r>
    </w:p>
    <w:p>
      <w:pPr>
        <w:ind w:left="460"/>
        <w:spacing w:before="169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"/>
        </w:rPr>
        <w:t>1、</w:t>
      </w:r>
      <w:r>
        <w:rPr>
          <w:rFonts w:ascii="FangSong" w:hAnsi="FangSong" w:eastAsia="FangSong" w:cs="FangSong"/>
          <w:sz w:val="23"/>
          <w:szCs w:val="23"/>
          <w:spacing w:val="-6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3"/>
        </w:rPr>
        <w:t>乙方逾期履约或不履约责任</w:t>
      </w:r>
    </w:p>
    <w:p>
      <w:pPr>
        <w:ind w:right="1866" w:firstLine="460"/>
        <w:spacing w:before="170" w:line="36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</w:rPr>
        <w:t>乙方如2022年8月25日前未能开始试运营，乙方应当一次性减免该</w:t>
      </w:r>
      <w:r>
        <w:rPr>
          <w:rFonts w:ascii="FangSong" w:hAnsi="FangSong" w:eastAsia="FangSong" w:cs="FangSong"/>
          <w:sz w:val="23"/>
          <w:szCs w:val="23"/>
          <w:spacing w:val="3"/>
        </w:rPr>
        <w:t>租赁项目1个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租赁费。2022年9月25日未能开始试运营，乙方应当一次性赔偿甲方合同总价款30%</w:t>
      </w:r>
    </w:p>
    <w:p>
      <w:pPr>
        <w:spacing w:before="1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的违约金，并合同终止。</w:t>
      </w:r>
    </w:p>
    <w:p>
      <w:pPr>
        <w:ind w:left="460"/>
        <w:spacing w:before="163" w:line="462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3"/>
          <w:position w:val="17"/>
        </w:rPr>
        <w:t>服务期满，乙方应当配合甲方在三个月内完成资产划转，如</w:t>
      </w:r>
      <w:r>
        <w:rPr>
          <w:rFonts w:ascii="FangSong" w:hAnsi="FangSong" w:eastAsia="FangSong" w:cs="FangSong"/>
          <w:sz w:val="23"/>
          <w:szCs w:val="23"/>
          <w:spacing w:val="2"/>
          <w:position w:val="17"/>
        </w:rPr>
        <w:t>乙方未履行责任，</w:t>
      </w:r>
    </w:p>
    <w:p>
      <w:pPr>
        <w:spacing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</w:rPr>
        <w:t>须由乙方一次性支付甲方合同总价款30%的违约金为赔偿。</w:t>
      </w:r>
    </w:p>
    <w:p>
      <w:pPr>
        <w:ind w:left="460"/>
        <w:spacing w:before="209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6"/>
        </w:rPr>
        <w:t>2、</w:t>
      </w:r>
      <w:r>
        <w:rPr>
          <w:rFonts w:ascii="FangSong" w:hAnsi="FangSong" w:eastAsia="FangSong" w:cs="FangSong"/>
          <w:sz w:val="23"/>
          <w:szCs w:val="23"/>
          <w:spacing w:val="-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6"/>
        </w:rPr>
        <w:t>甲方逾期付款责任</w:t>
      </w:r>
    </w:p>
    <w:p>
      <w:pPr>
        <w:ind w:left="110" w:right="1807" w:firstLine="349"/>
        <w:spacing w:before="154" w:line="368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</w:rPr>
        <w:t>甲方逾期付款，每逾期一</w:t>
      </w:r>
      <w:r>
        <w:rPr>
          <w:rFonts w:ascii="FangSong" w:hAnsi="FangSong" w:eastAsia="FangSong" w:cs="FangSong"/>
          <w:sz w:val="23"/>
          <w:szCs w:val="23"/>
          <w:spacing w:val="-4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"/>
        </w:rPr>
        <w:t>日，甲方应当向乙方支付合同总</w:t>
      </w:r>
      <w:r>
        <w:rPr>
          <w:rFonts w:ascii="FangSong" w:hAnsi="FangSong" w:eastAsia="FangSong" w:cs="FangSong"/>
          <w:sz w:val="23"/>
          <w:szCs w:val="23"/>
          <w:spacing w:val="3"/>
        </w:rPr>
        <w:t>价款0.2%的违约金。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"/>
        </w:rPr>
        <w:t>上述违约金不解除甲方的付款责任。甲方逾期付款或逾期验收超过90日的，由甲方</w:t>
      </w:r>
    </w:p>
    <w:p>
      <w:pPr>
        <w:spacing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</w:rPr>
        <w:t>一次性支付乙方剩余合同总价款，并合同终止。</w:t>
      </w:r>
    </w:p>
    <w:p>
      <w:pPr>
        <w:ind w:left="460"/>
        <w:spacing w:before="177" w:line="449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  <w:position w:val="16"/>
        </w:rPr>
        <w:t>3、</w:t>
      </w:r>
      <w:r>
        <w:rPr>
          <w:rFonts w:ascii="FangSong" w:hAnsi="FangSong" w:eastAsia="FangSong" w:cs="FangSong"/>
          <w:sz w:val="23"/>
          <w:szCs w:val="23"/>
          <w:spacing w:val="-36"/>
          <w:position w:val="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  <w:position w:val="16"/>
        </w:rPr>
        <w:t>合同签订后，如需解除合同，须经合同双方协商</w:t>
      </w:r>
      <w:r>
        <w:rPr>
          <w:rFonts w:ascii="FangSong" w:hAnsi="FangSong" w:eastAsia="FangSong" w:cs="FangSong"/>
          <w:sz w:val="23"/>
          <w:szCs w:val="23"/>
          <w:spacing w:val="-2"/>
          <w:position w:val="16"/>
        </w:rPr>
        <w:t>一致。单方面终止合同，终</w:t>
      </w:r>
    </w:p>
    <w:p>
      <w:pPr>
        <w:spacing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4"/>
        </w:rPr>
        <w:t>止方应向守约方赔偿直接损失，并向守约方额外</w:t>
      </w:r>
      <w:r>
        <w:rPr>
          <w:rFonts w:ascii="FangSong" w:hAnsi="FangSong" w:eastAsia="FangSong" w:cs="FangSong"/>
          <w:sz w:val="23"/>
          <w:szCs w:val="23"/>
          <w:spacing w:val="3"/>
        </w:rPr>
        <w:t>支付合同总金额30%的违约金。</w:t>
      </w:r>
    </w:p>
    <w:p>
      <w:pPr>
        <w:ind w:left="460"/>
        <w:spacing w:before="159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4、</w:t>
      </w:r>
      <w:r>
        <w:rPr>
          <w:rFonts w:ascii="FangSong" w:hAnsi="FangSong" w:eastAsia="FangSong" w:cs="FangSong"/>
          <w:sz w:val="23"/>
          <w:szCs w:val="23"/>
          <w:spacing w:val="-5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"/>
        </w:rPr>
        <w:t>违反知识产权义务责任</w:t>
      </w:r>
    </w:p>
    <w:p>
      <w:pPr>
        <w:ind w:right="1878" w:firstLine="460"/>
        <w:spacing w:before="173" w:line="36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3"/>
        </w:rPr>
        <w:t>任何一方违反本合同所约定的知识产权义务，未经对方书面同意，将对方享有</w:t>
      </w:r>
      <w:r>
        <w:rPr>
          <w:rFonts w:ascii="FangSong" w:hAnsi="FangSong" w:eastAsia="FangSong" w:cs="FangSong"/>
          <w:sz w:val="23"/>
          <w:szCs w:val="23"/>
          <w:spacing w:val="1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"/>
        </w:rPr>
        <w:t>知识产权的有关技术成果、计算机软件、源代码、数据信息</w:t>
      </w:r>
      <w:r>
        <w:rPr>
          <w:rFonts w:ascii="FangSong" w:hAnsi="FangSong" w:eastAsia="FangSong" w:cs="FangSong"/>
          <w:sz w:val="23"/>
          <w:szCs w:val="23"/>
          <w:spacing w:val="3"/>
        </w:rPr>
        <w:t>、技术资料和文档擅自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第三方披露、转让或许可使用的，违约方除应当</w:t>
      </w:r>
      <w:r>
        <w:rPr>
          <w:rFonts w:ascii="FangSong" w:hAnsi="FangSong" w:eastAsia="FangSong" w:cs="FangSong"/>
          <w:sz w:val="23"/>
          <w:szCs w:val="23"/>
          <w:spacing w:val="9"/>
        </w:rPr>
        <w:t>立即停止违约行为外，还应当赔</w:t>
      </w:r>
    </w:p>
    <w:p>
      <w:pPr>
        <w:spacing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偿由此给对方所造成的损失，如损失无法准确计算的，违约方应当支付相应违约金。</w:t>
      </w:r>
    </w:p>
    <w:p>
      <w:pPr>
        <w:ind w:left="460"/>
        <w:spacing w:before="173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"/>
        </w:rPr>
        <w:t>5、</w:t>
      </w:r>
      <w:r>
        <w:rPr>
          <w:rFonts w:ascii="FangSong" w:hAnsi="FangSong" w:eastAsia="FangSong" w:cs="FangSong"/>
          <w:sz w:val="23"/>
          <w:szCs w:val="23"/>
          <w:spacing w:val="-5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3"/>
        </w:rPr>
        <w:t>违反保密义务责任</w:t>
      </w:r>
    </w:p>
    <w:p>
      <w:pPr>
        <w:ind w:left="460"/>
        <w:spacing w:before="195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3"/>
        </w:rPr>
        <w:t>任何一方违反本合同所约定的保密义务，违约方应当支付相应违约金。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574"/>
        <w:spacing w:before="94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11"/>
        </w:rPr>
        <w:t>第九条合同的解除和终止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460"/>
        <w:spacing w:before="76" w:line="442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  <w:position w:val="15"/>
        </w:rPr>
        <w:t>1、</w:t>
      </w:r>
      <w:r>
        <w:rPr>
          <w:rFonts w:ascii="FangSong" w:hAnsi="FangSong" w:eastAsia="FangSong" w:cs="FangSong"/>
          <w:sz w:val="23"/>
          <w:szCs w:val="23"/>
          <w:spacing w:val="-52"/>
          <w:position w:val="1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"/>
          <w:position w:val="15"/>
        </w:rPr>
        <w:t>本合同生效后，除法律法规和本合同另有规定外，任何一方不得随意</w:t>
      </w:r>
      <w:r>
        <w:rPr>
          <w:rFonts w:ascii="FangSong" w:hAnsi="FangSong" w:eastAsia="FangSong" w:cs="FangSong"/>
          <w:sz w:val="23"/>
          <w:szCs w:val="23"/>
          <w:spacing w:val="1"/>
          <w:position w:val="15"/>
        </w:rPr>
        <w:t>单方</w:t>
      </w:r>
    </w:p>
    <w:p>
      <w:pPr>
        <w:spacing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4"/>
        </w:rPr>
        <w:t>更或解除合同，否则应当承担违约责任。</w:t>
      </w:r>
    </w:p>
    <w:p>
      <w:pPr>
        <w:sectPr>
          <w:footerReference w:type="default" r:id="rId14"/>
          <w:pgSz w:w="11900" w:h="16820"/>
          <w:pgMar w:top="400" w:right="7" w:bottom="1692" w:left="1599" w:header="0" w:footer="1478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7000"/>
        <w:spacing w:line="540" w:lineRule="exact"/>
        <w:textAlignment w:val="center"/>
        <w:rPr/>
      </w:pPr>
      <w:r>
        <w:drawing>
          <wp:inline distT="0" distB="0" distL="0" distR="0">
            <wp:extent cx="984234" cy="34295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34" cy="3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0"/>
        <w:spacing w:before="5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7"/>
        </w:rPr>
        <w:t>2、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7"/>
        </w:rPr>
        <w:t>甲乙双方各自履行完毕本合同的全部义务后，本合同终止。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584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28"/>
        </w:rPr>
        <w:t>第十条不可抗力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right="79" w:firstLine="470"/>
        <w:spacing w:before="65" w:line="41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3"/>
        </w:rPr>
        <w:t>一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3"/>
        </w:rPr>
        <w:t>方当事人因不可抗力(指山洪、地震、战争等)不能按</w:t>
      </w:r>
      <w:r>
        <w:rPr>
          <w:rFonts w:ascii="FangSong" w:hAnsi="FangSong" w:eastAsia="FangSong" w:cs="FangSong"/>
          <w:sz w:val="20"/>
          <w:szCs w:val="20"/>
          <w:spacing w:val="32"/>
        </w:rPr>
        <w:t>照约定履行本合同的，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4"/>
        </w:rPr>
        <w:t>根据不可抗力的影响，可部分或全部免除责任，但应当及时告知对方，并自不可</w:t>
      </w:r>
      <w:r>
        <w:rPr>
          <w:rFonts w:ascii="FangSong" w:hAnsi="FangSong" w:eastAsia="FangSong" w:cs="FangSong"/>
          <w:sz w:val="20"/>
          <w:szCs w:val="20"/>
          <w:spacing w:val="33"/>
        </w:rPr>
        <w:t>抗</w:t>
      </w:r>
    </w:p>
    <w:p>
      <w:pPr>
        <w:spacing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9"/>
        </w:rPr>
        <w:t>力结束之日起15日内向对方当事人提供证明。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584"/>
        <w:spacing w:before="9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18"/>
        </w:rPr>
        <w:t>第十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18"/>
        </w:rPr>
        <w:t>一条争议解决方式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470"/>
        <w:spacing w:before="65" w:line="458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0"/>
          <w:position w:val="19"/>
        </w:rPr>
        <w:t>本合同项下所发生的争议，由双方协商解决，协商不成的，任意</w:t>
      </w:r>
      <w:r>
        <w:rPr>
          <w:rFonts w:ascii="FangSong" w:hAnsi="FangSong" w:eastAsia="FangSong" w:cs="FangSong"/>
          <w:sz w:val="20"/>
          <w:szCs w:val="20"/>
          <w:spacing w:val="-43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0"/>
          <w:position w:val="19"/>
        </w:rPr>
        <w:t>一</w:t>
      </w:r>
      <w:r>
        <w:rPr>
          <w:rFonts w:ascii="FangSong" w:hAnsi="FangSong" w:eastAsia="FangSong" w:cs="FangSong"/>
          <w:sz w:val="20"/>
          <w:szCs w:val="20"/>
          <w:spacing w:val="-47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0"/>
          <w:position w:val="19"/>
        </w:rPr>
        <w:t>方均可向甲</w:t>
      </w:r>
    </w:p>
    <w:p>
      <w:pPr>
        <w:ind w:left="150"/>
        <w:spacing w:before="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4"/>
        </w:rPr>
        <w:t>方住所地有管辖权的人民法院提起诉讼。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584"/>
        <w:spacing w:before="9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25"/>
        </w:rPr>
        <w:t>第十二条其他条款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470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5"/>
        </w:rPr>
        <w:t>1、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5"/>
        </w:rPr>
        <w:t>本合同自双方签字盖章之日起生效。</w:t>
      </w:r>
    </w:p>
    <w:p>
      <w:pPr>
        <w:ind w:left="470"/>
        <w:spacing w:before="20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2、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本合同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式</w:t>
      </w:r>
      <w:r>
        <w:rPr>
          <w:rFonts w:ascii="FangSong" w:hAnsi="FangSong" w:eastAsia="FangSong" w:cs="FangSong"/>
          <w:sz w:val="20"/>
          <w:szCs w:val="20"/>
          <w:u w:val="single" w:color="auto"/>
        </w:rPr>
        <w:t xml:space="preserve"> 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9"/>
        </w:rPr>
        <w:t>5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8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份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，其中甲方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86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9"/>
        </w:rPr>
        <w:t>3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8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份，乙方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9"/>
        </w:rPr>
        <w:t>2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16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9"/>
        </w:rPr>
        <w:t>份，具同等</w:t>
      </w:r>
      <w:r>
        <w:rPr>
          <w:rFonts w:ascii="FangSong" w:hAnsi="FangSong" w:eastAsia="FangSong" w:cs="FangSong"/>
          <w:sz w:val="20"/>
          <w:szCs w:val="20"/>
          <w:spacing w:val="8"/>
        </w:rPr>
        <w:t>法律效力。</w:t>
      </w:r>
    </w:p>
    <w:p>
      <w:pPr>
        <w:ind w:left="470"/>
        <w:spacing w:before="20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4"/>
        </w:rPr>
        <w:t>3.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4"/>
        </w:rPr>
        <w:t>本项目招标文件(包括投标文件、中标通知书)、本合同附</w:t>
      </w:r>
      <w:r>
        <w:rPr>
          <w:rFonts w:ascii="FangSong" w:hAnsi="FangSong" w:eastAsia="FangSong" w:cs="FangSong"/>
          <w:sz w:val="20"/>
          <w:szCs w:val="20"/>
          <w:spacing w:val="33"/>
        </w:rPr>
        <w:t>件以及合同履行</w:t>
      </w:r>
    </w:p>
    <w:p>
      <w:pPr>
        <w:ind w:left="140"/>
        <w:spacing w:before="210" w:line="449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7"/>
          <w:position w:val="19"/>
        </w:rPr>
        <w:t>程中形成的各种书面文件，经双方签署确认后为本合</w:t>
      </w:r>
      <w:r>
        <w:rPr>
          <w:rFonts w:ascii="FangSong" w:hAnsi="FangSong" w:eastAsia="FangSong" w:cs="FangSong"/>
          <w:sz w:val="20"/>
          <w:szCs w:val="20"/>
          <w:spacing w:val="36"/>
          <w:position w:val="19"/>
        </w:rPr>
        <w:t>同的组成部分，与本合同具</w:t>
      </w:r>
    </w:p>
    <w:p>
      <w:pPr>
        <w:spacing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3"/>
        </w:rPr>
        <w:t>有同等法律效力，解释的顺序除有特别说明外，以</w:t>
      </w:r>
      <w:r>
        <w:rPr>
          <w:rFonts w:ascii="FangSong" w:hAnsi="FangSong" w:eastAsia="FangSong" w:cs="FangSong"/>
          <w:sz w:val="20"/>
          <w:szCs w:val="20"/>
          <w:spacing w:val="32"/>
        </w:rPr>
        <w:t>文件生成时间在后的为准。</w:t>
      </w:r>
    </w:p>
    <w:p>
      <w:pPr>
        <w:ind w:left="470"/>
        <w:spacing w:before="215" w:line="451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8"/>
          <w:position w:val="19"/>
        </w:rPr>
        <w:t>4、</w:t>
      </w:r>
      <w:r>
        <w:rPr>
          <w:rFonts w:ascii="FangSong" w:hAnsi="FangSong" w:eastAsia="FangSong" w:cs="FangSong"/>
          <w:sz w:val="20"/>
          <w:szCs w:val="20"/>
          <w:spacing w:val="-14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  <w:position w:val="19"/>
        </w:rPr>
        <w:t>本合同未尽事宜，双方可协商签订补充协议，</w:t>
      </w:r>
      <w:r>
        <w:rPr>
          <w:rFonts w:ascii="FangSong" w:hAnsi="FangSong" w:eastAsia="FangSong" w:cs="FangSong"/>
          <w:sz w:val="20"/>
          <w:szCs w:val="20"/>
          <w:spacing w:val="27"/>
          <w:position w:val="19"/>
        </w:rPr>
        <w:t>补充协议与本合同具有同等法</w:t>
      </w:r>
    </w:p>
    <w:p>
      <w:pPr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律效力。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584"/>
        <w:spacing w:before="9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25"/>
        </w:rPr>
        <w:t>第十二章法定地址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1"/>
        </w:rPr>
        <w:t>合同甲方：重庆警察学院</w:t>
      </w:r>
    </w:p>
    <w:p>
      <w:pPr>
        <w:spacing w:before="139" w:line="381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3"/>
          <w:position w:val="13"/>
        </w:rPr>
        <w:t>地</w:t>
      </w:r>
      <w:r>
        <w:rPr>
          <w:rFonts w:ascii="FangSong" w:hAnsi="FangSong" w:eastAsia="FangSong" w:cs="FangSong"/>
          <w:sz w:val="20"/>
          <w:szCs w:val="20"/>
          <w:spacing w:val="7"/>
          <w:position w:val="13"/>
        </w:rPr>
        <w:t xml:space="preserve">     </w:t>
      </w:r>
      <w:r>
        <w:rPr>
          <w:rFonts w:ascii="FangSong" w:hAnsi="FangSong" w:eastAsia="FangSong" w:cs="FangSong"/>
          <w:sz w:val="20"/>
          <w:szCs w:val="20"/>
          <w:spacing w:val="33"/>
          <w:position w:val="13"/>
        </w:rPr>
        <w:t>址：重庆市沙坪坝区大学城景铮路666号</w:t>
      </w:r>
    </w:p>
    <w:p>
      <w:pPr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3"/>
        </w:rPr>
        <w:t>联系电话：63964500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2"/>
        </w:rPr>
        <w:t>合同乙方：联通数字科技有限公司重庆市分公司</w:t>
      </w:r>
    </w:p>
    <w:p>
      <w:pPr>
        <w:ind w:left="230"/>
        <w:spacing w:before="219" w:line="461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址</w:t>
      </w:r>
      <w:r>
        <w:rPr>
          <w:rFonts w:ascii="FangSong" w:hAnsi="FangSong" w:eastAsia="FangSong" w:cs="FangSong"/>
          <w:sz w:val="20"/>
          <w:szCs w:val="20"/>
          <w:spacing w:val="-9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：</w:t>
      </w:r>
      <w:r>
        <w:rPr>
          <w:rFonts w:ascii="FangSong" w:hAnsi="FangSong" w:eastAsia="FangSong" w:cs="FangSong"/>
          <w:sz w:val="20"/>
          <w:szCs w:val="20"/>
          <w:spacing w:val="-17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重</w:t>
      </w:r>
      <w:r>
        <w:rPr>
          <w:rFonts w:ascii="FangSong" w:hAnsi="FangSong" w:eastAsia="FangSong" w:cs="FangSong"/>
          <w:sz w:val="20"/>
          <w:szCs w:val="20"/>
          <w:spacing w:val="-23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庆</w:t>
      </w:r>
      <w:r>
        <w:rPr>
          <w:rFonts w:ascii="FangSong" w:hAnsi="FangSong" w:eastAsia="FangSong" w:cs="FangSong"/>
          <w:sz w:val="20"/>
          <w:szCs w:val="20"/>
          <w:spacing w:val="-17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市</w:t>
      </w:r>
      <w:r>
        <w:rPr>
          <w:rFonts w:ascii="FangSong" w:hAnsi="FangSong" w:eastAsia="FangSong" w:cs="FangSong"/>
          <w:sz w:val="20"/>
          <w:szCs w:val="20"/>
          <w:spacing w:val="-18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北</w:t>
      </w:r>
      <w:r>
        <w:rPr>
          <w:rFonts w:ascii="FangSong" w:hAnsi="FangSong" w:eastAsia="FangSong" w:cs="FangSong"/>
          <w:sz w:val="20"/>
          <w:szCs w:val="20"/>
          <w:spacing w:val="-22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部</w:t>
      </w:r>
      <w:r>
        <w:rPr>
          <w:rFonts w:ascii="FangSong" w:hAnsi="FangSong" w:eastAsia="FangSong" w:cs="FangSong"/>
          <w:sz w:val="20"/>
          <w:szCs w:val="20"/>
          <w:spacing w:val="-24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新</w:t>
      </w:r>
      <w:r>
        <w:rPr>
          <w:rFonts w:ascii="FangSong" w:hAnsi="FangSong" w:eastAsia="FangSong" w:cs="FangSong"/>
          <w:sz w:val="20"/>
          <w:szCs w:val="20"/>
          <w:spacing w:val="-6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区</w:t>
      </w:r>
      <w:r>
        <w:rPr>
          <w:rFonts w:ascii="FangSong" w:hAnsi="FangSong" w:eastAsia="FangSong" w:cs="FangSong"/>
          <w:sz w:val="20"/>
          <w:szCs w:val="20"/>
          <w:spacing w:val="-23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金</w:t>
      </w:r>
      <w:r>
        <w:rPr>
          <w:rFonts w:ascii="FangSong" w:hAnsi="FangSong" w:eastAsia="FangSong" w:cs="FangSong"/>
          <w:sz w:val="20"/>
          <w:szCs w:val="20"/>
          <w:spacing w:val="-23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开</w:t>
      </w:r>
      <w:r>
        <w:rPr>
          <w:rFonts w:ascii="FangSong" w:hAnsi="FangSong" w:eastAsia="FangSong" w:cs="FangSong"/>
          <w:sz w:val="20"/>
          <w:szCs w:val="20"/>
          <w:spacing w:val="-21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大</w:t>
      </w:r>
      <w:r>
        <w:rPr>
          <w:rFonts w:ascii="FangSong" w:hAnsi="FangSong" w:eastAsia="FangSong" w:cs="FangSong"/>
          <w:sz w:val="20"/>
          <w:szCs w:val="20"/>
          <w:spacing w:val="-22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道</w:t>
      </w:r>
      <w:r>
        <w:rPr>
          <w:rFonts w:ascii="FangSong" w:hAnsi="FangSong" w:eastAsia="FangSong" w:cs="FangSong"/>
          <w:sz w:val="20"/>
          <w:szCs w:val="20"/>
          <w:spacing w:val="-21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西</w:t>
      </w:r>
      <w:r>
        <w:rPr>
          <w:rFonts w:ascii="FangSong" w:hAnsi="FangSong" w:eastAsia="FangSong" w:cs="FangSong"/>
          <w:sz w:val="20"/>
          <w:szCs w:val="20"/>
          <w:spacing w:val="-22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段</w:t>
      </w:r>
      <w:r>
        <w:rPr>
          <w:rFonts w:ascii="FangSong" w:hAnsi="FangSong" w:eastAsia="FangSong" w:cs="FangSong"/>
          <w:sz w:val="20"/>
          <w:szCs w:val="20"/>
          <w:spacing w:val="-14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1</w:t>
      </w:r>
      <w:r>
        <w:rPr>
          <w:rFonts w:ascii="FangSong" w:hAnsi="FangSong" w:eastAsia="FangSong" w:cs="FangSong"/>
          <w:sz w:val="20"/>
          <w:szCs w:val="20"/>
          <w:spacing w:val="-29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8</w:t>
      </w:r>
      <w:r>
        <w:rPr>
          <w:rFonts w:ascii="FangSong" w:hAnsi="FangSong" w:eastAsia="FangSong" w:cs="FangSong"/>
          <w:sz w:val="20"/>
          <w:szCs w:val="20"/>
          <w:spacing w:val="-27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6</w:t>
      </w:r>
      <w:r>
        <w:rPr>
          <w:rFonts w:ascii="FangSong" w:hAnsi="FangSong" w:eastAsia="FangSong" w:cs="FangSong"/>
          <w:sz w:val="20"/>
          <w:szCs w:val="20"/>
          <w:spacing w:val="-19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号</w:t>
      </w:r>
      <w:r>
        <w:rPr>
          <w:rFonts w:ascii="FangSong" w:hAnsi="FangSong" w:eastAsia="FangSong" w:cs="FangSong"/>
          <w:sz w:val="20"/>
          <w:szCs w:val="20"/>
          <w:spacing w:val="-17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二</w:t>
      </w:r>
      <w:r>
        <w:rPr>
          <w:rFonts w:ascii="FangSong" w:hAnsi="FangSong" w:eastAsia="FangSong" w:cs="FangSong"/>
          <w:sz w:val="20"/>
          <w:szCs w:val="20"/>
          <w:spacing w:val="-23"/>
          <w:position w:val="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  <w:position w:val="19"/>
        </w:rPr>
        <w:t>楼</w:t>
      </w:r>
    </w:p>
    <w:p>
      <w:pPr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联系电话：023-88882098</w:t>
      </w:r>
    </w:p>
    <w:p>
      <w:pPr>
        <w:sectPr>
          <w:footerReference w:type="default" r:id="rId15"/>
          <w:pgSz w:w="11900" w:h="16820"/>
          <w:pgMar w:top="400" w:right="1760" w:bottom="1692" w:left="1589" w:header="0" w:footer="1454" w:gutter="0"/>
        </w:sectPr>
        <w:rPr/>
      </w:pPr>
    </w:p>
    <w:p>
      <w:pPr>
        <w:rPr/>
      </w:pP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2108187</wp:posOffset>
            </wp:positionH>
            <wp:positionV relativeFrom="page">
              <wp:posOffset>5651478</wp:posOffset>
            </wp:positionV>
            <wp:extent cx="533413" cy="39369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13" cy="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" style="position:absolute;margin-left:574.999pt;margin-top:205.76pt;mso-position-vertical-relative:page;mso-position-horizontal-relative:page;width:16.5pt;height:31pt;z-index:251672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6" w:lineRule="auto"/>
                    <w:rPr>
                      <w:rFonts w:ascii="SimHei" w:hAnsi="SimHei" w:eastAsia="SimHei" w:cs="SimHei"/>
                      <w:sz w:val="24"/>
                      <w:szCs w:val="24"/>
                    </w:rPr>
                  </w:pPr>
                  <w:r>
                    <w:rPr>
                      <w:rFonts w:ascii="SimHei" w:hAnsi="SimHei" w:eastAsia="SimHei" w:cs="SimHei"/>
                      <w:sz w:val="24"/>
                      <w:szCs w:val="24"/>
                      <w:spacing w:val="49"/>
                    </w:rPr>
                    <w:t>豆早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1" locked="0" layoutInCell="0" allowOverlap="1">
            <wp:simplePos x="0" y="0"/>
            <wp:positionH relativeFrom="page">
              <wp:posOffset>4737093</wp:posOffset>
            </wp:positionH>
            <wp:positionV relativeFrom="page">
              <wp:posOffset>5530893</wp:posOffset>
            </wp:positionV>
            <wp:extent cx="1460520" cy="476252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20" cy="47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2" w:lineRule="exact"/>
        <w:rPr/>
      </w:pPr>
      <w:r/>
    </w:p>
    <w:p>
      <w:pPr>
        <w:sectPr>
          <w:footerReference w:type="default" r:id="rId17"/>
          <w:pgSz w:w="11900" w:h="16820"/>
          <w:pgMar w:top="400" w:right="90" w:bottom="1722" w:left="1589" w:header="0" w:footer="1445" w:gutter="0"/>
          <w:cols w:equalWidth="0" w:num="1">
            <w:col w:w="10220" w:space="0"/>
          </w:cols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75" w:line="224" w:lineRule="auto"/>
        <w:jc w:val="righ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-25"/>
          <w:w w:val="93"/>
        </w:rPr>
        <w:t>(</w:t>
      </w:r>
      <w:r>
        <w:rPr>
          <w:rFonts w:ascii="FangSong" w:hAnsi="FangSong" w:eastAsia="FangSong" w:cs="FangSong"/>
          <w:sz w:val="23"/>
          <w:szCs w:val="23"/>
          <w:spacing w:val="-27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-25"/>
          <w:w w:val="93"/>
        </w:rPr>
        <w:t>签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50"/>
        <w:spacing w:before="75" w:line="222" w:lineRule="auto"/>
        <w:rPr>
          <w:rFonts w:ascii="FangSong" w:hAnsi="FangSong" w:eastAsia="FangSong" w:cs="FangSong"/>
          <w:sz w:val="23"/>
          <w:szCs w:val="23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203194</wp:posOffset>
            </wp:positionH>
            <wp:positionV relativeFrom="paragraph">
              <wp:posOffset>-490530</wp:posOffset>
            </wp:positionV>
            <wp:extent cx="2190780" cy="147318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80" cy="147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3"/>
          <w:szCs w:val="23"/>
          <w:spacing w:val="-15"/>
        </w:rPr>
        <w:t>甲字：</w:t>
      </w:r>
    </w:p>
    <w:p>
      <w:pPr>
        <w:ind w:left="39"/>
        <w:spacing w:before="82" w:line="360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3"/>
          <w:position w:val="9"/>
        </w:rPr>
        <w:t>重成鉴察学院</w:t>
      </w:r>
    </w:p>
    <w:p>
      <w:pPr>
        <w:ind w:left="140"/>
        <w:spacing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2"/>
        </w:rPr>
        <w:t>(</w:t>
      </w:r>
      <w:r>
        <w:rPr>
          <w:rFonts w:ascii="FangSong" w:hAnsi="FangSong" w:eastAsia="FangSong" w:cs="FangSong"/>
          <w:sz w:val="23"/>
          <w:szCs w:val="23"/>
          <w:spacing w:val="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2"/>
        </w:rPr>
        <w:t>章</w:t>
      </w:r>
      <w:r>
        <w:rPr>
          <w:rFonts w:ascii="FangSong" w:hAnsi="FangSong" w:eastAsia="FangSong" w:cs="FangSong"/>
          <w:sz w:val="23"/>
          <w:szCs w:val="23"/>
          <w:spacing w:val="-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2"/>
        </w:rPr>
        <w:t>；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75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"/>
        </w:rPr>
        <w:t>授权代表人：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firstLine="950"/>
        <w:spacing w:line="500" w:lineRule="exact"/>
        <w:textAlignment w:val="center"/>
        <w:rPr/>
      </w:pPr>
      <w:r>
        <w:drawing>
          <wp:inline distT="0" distB="0" distL="0" distR="0">
            <wp:extent cx="1377927" cy="31743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27" cy="3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859"/>
        <w:spacing w:line="518" w:lineRule="exact"/>
        <w:textAlignment w:val="center"/>
        <w:rPr/>
      </w:pPr>
      <w:r>
        <w:drawing>
          <wp:inline distT="0" distB="0" distL="0" distR="0">
            <wp:extent cx="977886" cy="32937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886" cy="3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75" w:line="224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-20"/>
        </w:rPr>
        <w:t>字</w:t>
      </w:r>
      <w:r>
        <w:rPr>
          <w:rFonts w:ascii="FangSong" w:hAnsi="FangSong" w:eastAsia="FangSong" w:cs="FangSong"/>
          <w:sz w:val="23"/>
          <w:szCs w:val="23"/>
          <w:spacing w:val="-20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-20"/>
        </w:rPr>
        <w:t>页</w:t>
      </w:r>
      <w:r>
        <w:rPr>
          <w:rFonts w:ascii="FangSong" w:hAnsi="FangSong" w:eastAsia="FangSong" w:cs="FangSong"/>
          <w:sz w:val="23"/>
          <w:szCs w:val="23"/>
          <w:spacing w:val="-37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-20"/>
        </w:rPr>
        <w:t>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29"/>
        <w:spacing w:before="75" w:line="224" w:lineRule="auto"/>
        <w:rPr>
          <w:rFonts w:ascii="FangSong" w:hAnsi="FangSong" w:eastAsia="FangSong" w:cs="FangSong"/>
          <w:sz w:val="23"/>
          <w:szCs w:val="23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552115</wp:posOffset>
            </wp:positionH>
            <wp:positionV relativeFrom="paragraph">
              <wp:posOffset>-308114</wp:posOffset>
            </wp:positionV>
            <wp:extent cx="1485910" cy="1511318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910" cy="151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3"/>
          <w:szCs w:val="23"/>
          <w:spacing w:val="5"/>
        </w:rPr>
        <w:t>乙方：</w:t>
      </w:r>
    </w:p>
    <w:p>
      <w:pPr>
        <w:ind w:left="429"/>
        <w:spacing w:before="117" w:line="400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5"/>
          <w:position w:val="12"/>
        </w:rPr>
        <w:t>联通数字科技有限公司重庆市分公司</w:t>
      </w:r>
    </w:p>
    <w:p>
      <w:pPr>
        <w:ind w:left="539"/>
        <w:spacing w:before="1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7"/>
        </w:rPr>
        <w:t>(盖章)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19"/>
        <w:spacing w:before="75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"/>
        </w:rPr>
        <w:t>授权代表人：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29"/>
        <w:spacing w:before="75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2"/>
        </w:rPr>
        <w:t>日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   </w:t>
      </w:r>
      <w:r>
        <w:rPr>
          <w:rFonts w:ascii="FangSong" w:hAnsi="FangSong" w:eastAsia="FangSong" w:cs="FangSong"/>
          <w:sz w:val="23"/>
          <w:szCs w:val="23"/>
          <w:spacing w:val="-32"/>
        </w:rPr>
        <w:t>期：</w:t>
      </w:r>
      <w:r>
        <w:rPr>
          <w:rFonts w:ascii="FangSong" w:hAnsi="FangSong" w:eastAsia="FangSong" w:cs="FangSong"/>
          <w:sz w:val="23"/>
          <w:szCs w:val="23"/>
          <w:spacing w:val="6"/>
        </w:rPr>
        <w:t xml:space="preserve">           </w:t>
      </w:r>
      <w:r>
        <w:rPr>
          <w:rFonts w:ascii="FangSong" w:hAnsi="FangSong" w:eastAsia="FangSong" w:cs="FangSong"/>
          <w:sz w:val="23"/>
          <w:szCs w:val="23"/>
          <w:spacing w:val="-32"/>
        </w:rPr>
        <w:t>月</w:t>
      </w:r>
      <w:r>
        <w:rPr>
          <w:rFonts w:ascii="FangSong" w:hAnsi="FangSong" w:eastAsia="FangSong" w:cs="FangSong"/>
          <w:sz w:val="23"/>
          <w:szCs w:val="23"/>
          <w:spacing w:val="13"/>
        </w:rPr>
        <w:t xml:space="preserve">   </w:t>
      </w:r>
      <w:r>
        <w:rPr>
          <w:rFonts w:ascii="FangSong" w:hAnsi="FangSong" w:eastAsia="FangSong" w:cs="FangSong"/>
          <w:sz w:val="23"/>
          <w:szCs w:val="23"/>
          <w:spacing w:val="-32"/>
        </w:rPr>
        <w:t>日</w:t>
      </w:r>
    </w:p>
    <w:p>
      <w:pPr>
        <w:sectPr>
          <w:type w:val="continuous"/>
          <w:pgSz w:w="11900" w:h="16820"/>
          <w:pgMar w:top="400" w:right="90" w:bottom="1722" w:left="1589" w:header="0" w:footer="1445" w:gutter="0"/>
          <w:cols w:equalWidth="0" w:num="2">
            <w:col w:w="4049" w:space="92"/>
            <w:col w:w="6079" w:space="0"/>
          </w:cols>
        </w:sectPr>
        <w:rPr/>
      </w:pPr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5588031</wp:posOffset>
            </wp:positionH>
            <wp:positionV relativeFrom="page">
              <wp:posOffset>603245</wp:posOffset>
            </wp:positionV>
            <wp:extent cx="1022318" cy="36196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18" cy="36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15"/>
        <w:spacing w:before="59" w:line="292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  <w:position w:val="8"/>
        </w:rPr>
        <w:t>合同编号：JC21-5001-2022-000530</w:t>
      </w:r>
    </w:p>
    <w:p>
      <w:pPr>
        <w:ind w:left="115"/>
        <w:spacing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附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件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：</w:t>
      </w:r>
    </w:p>
    <w:p>
      <w:pPr>
        <w:spacing w:line="26" w:lineRule="exact"/>
        <w:rPr/>
      </w:pPr>
      <w:r/>
    </w:p>
    <w:tbl>
      <w:tblPr>
        <w:tblStyle w:val="2"/>
        <w:tblW w:w="759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64"/>
        <w:gridCol w:w="2367"/>
        <w:gridCol w:w="899"/>
        <w:gridCol w:w="2596"/>
        <w:gridCol w:w="1064"/>
      </w:tblGrid>
      <w:tr>
        <w:trPr>
          <w:trHeight w:val="304" w:hRule="atLeast"/>
        </w:trPr>
        <w:tc>
          <w:tcPr>
            <w:tcW w:w="664" w:type="dxa"/>
            <w:vAlign w:val="top"/>
          </w:tcPr>
          <w:p>
            <w:pPr>
              <w:ind w:left="105"/>
              <w:spacing w:before="45" w:line="2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6"/>
              </w:rPr>
              <w:t>序号</w:t>
            </w:r>
          </w:p>
        </w:tc>
        <w:tc>
          <w:tcPr>
            <w:tcW w:w="2367" w:type="dxa"/>
            <w:vAlign w:val="top"/>
          </w:tcPr>
          <w:p>
            <w:pPr>
              <w:ind w:left="954"/>
              <w:spacing w:before="43" w:line="21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6"/>
              </w:rPr>
              <w:t>名称</w:t>
            </w:r>
          </w:p>
        </w:tc>
        <w:tc>
          <w:tcPr>
            <w:tcW w:w="899" w:type="dxa"/>
            <w:vAlign w:val="top"/>
          </w:tcPr>
          <w:p>
            <w:pPr>
              <w:ind w:left="227"/>
              <w:spacing w:before="41" w:line="21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1"/>
              </w:rPr>
              <w:t>品牌</w:t>
            </w:r>
          </w:p>
        </w:tc>
        <w:tc>
          <w:tcPr>
            <w:tcW w:w="2596" w:type="dxa"/>
            <w:vAlign w:val="top"/>
          </w:tcPr>
          <w:p>
            <w:pPr>
              <w:ind w:left="1075"/>
              <w:spacing w:before="45" w:line="2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6"/>
              </w:rPr>
              <w:t>型号</w:t>
            </w:r>
          </w:p>
        </w:tc>
        <w:tc>
          <w:tcPr>
            <w:tcW w:w="1064" w:type="dxa"/>
            <w:vAlign w:val="top"/>
          </w:tcPr>
          <w:p>
            <w:pPr>
              <w:ind w:left="309"/>
              <w:spacing w:before="44" w:line="21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数量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06" w:line="17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  <w:tc>
          <w:tcPr>
            <w:tcW w:w="2367" w:type="dxa"/>
            <w:vAlign w:val="top"/>
          </w:tcPr>
          <w:p>
            <w:pPr>
              <w:ind w:left="621"/>
              <w:spacing w:before="50" w:line="2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无线控制器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06" w:line="17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854"/>
              <w:spacing w:before="106" w:line="17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HMX3520X</w:t>
            </w:r>
          </w:p>
        </w:tc>
        <w:tc>
          <w:tcPr>
            <w:tcW w:w="1064" w:type="dxa"/>
            <w:vAlign w:val="top"/>
          </w:tcPr>
          <w:p>
            <w:pPr>
              <w:ind w:left="469"/>
              <w:spacing w:before="106" w:line="17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07" w:line="16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2</w:t>
            </w:r>
          </w:p>
        </w:tc>
        <w:tc>
          <w:tcPr>
            <w:tcW w:w="2367" w:type="dxa"/>
            <w:vAlign w:val="top"/>
          </w:tcPr>
          <w:p>
            <w:pPr>
              <w:ind w:left="840"/>
              <w:spacing w:before="50" w:line="2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面板AP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07" w:line="16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904"/>
              <w:spacing w:before="106" w:line="17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WA6320H</w:t>
            </w:r>
          </w:p>
        </w:tc>
        <w:tc>
          <w:tcPr>
            <w:tcW w:w="1064" w:type="dxa"/>
            <w:vAlign w:val="top"/>
          </w:tcPr>
          <w:p>
            <w:pPr>
              <w:ind w:left="358"/>
              <w:spacing w:before="106" w:line="17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08" w:line="16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3</w:t>
            </w:r>
          </w:p>
        </w:tc>
        <w:tc>
          <w:tcPr>
            <w:tcW w:w="2367" w:type="dxa"/>
            <w:vAlign w:val="top"/>
          </w:tcPr>
          <w:p>
            <w:pPr>
              <w:ind w:left="840"/>
              <w:spacing w:before="52" w:line="21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放装AP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08" w:line="16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965"/>
              <w:spacing w:before="107" w:line="16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WA6320</w:t>
            </w:r>
          </w:p>
        </w:tc>
        <w:tc>
          <w:tcPr>
            <w:tcW w:w="1064" w:type="dxa"/>
            <w:vAlign w:val="top"/>
          </w:tcPr>
          <w:p>
            <w:pPr>
              <w:ind w:left="358"/>
              <w:spacing w:before="107" w:line="16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187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09" w:line="16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4</w:t>
            </w:r>
          </w:p>
        </w:tc>
        <w:tc>
          <w:tcPr>
            <w:tcW w:w="2367" w:type="dxa"/>
            <w:vAlign w:val="top"/>
          </w:tcPr>
          <w:p>
            <w:pPr>
              <w:ind w:left="840"/>
              <w:spacing w:before="53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>室外</w:t>
            </w:r>
            <w:r>
              <w:rPr>
                <w:rFonts w:ascii="SimSun" w:hAnsi="SimSun" w:eastAsia="SimSun" w:cs="SimSun"/>
                <w:sz w:val="22"/>
                <w:szCs w:val="22"/>
              </w:rPr>
              <w:t>AP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09" w:line="16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904"/>
              <w:spacing w:before="107" w:line="16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WA6620X</w:t>
            </w:r>
          </w:p>
        </w:tc>
        <w:tc>
          <w:tcPr>
            <w:tcW w:w="1064" w:type="dxa"/>
            <w:vAlign w:val="top"/>
          </w:tcPr>
          <w:p>
            <w:pPr>
              <w:ind w:left="419"/>
              <w:spacing w:before="108" w:line="16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5</w:t>
            </w:r>
          </w:p>
        </w:tc>
        <w:tc>
          <w:tcPr>
            <w:tcW w:w="2367" w:type="dxa"/>
            <w:vAlign w:val="top"/>
          </w:tcPr>
          <w:p>
            <w:pPr>
              <w:ind w:left="461"/>
              <w:spacing w:before="52" w:line="21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POE接入交换机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11" w:line="16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304"/>
              <w:spacing w:before="109" w:line="16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S5130S-28S-HPWR-EI</w:t>
            </w:r>
          </w:p>
        </w:tc>
        <w:tc>
          <w:tcPr>
            <w:tcW w:w="1064" w:type="dxa"/>
            <w:vAlign w:val="top"/>
          </w:tcPr>
          <w:p>
            <w:pPr>
              <w:ind w:left="419"/>
              <w:spacing w:before="70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29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6</w:t>
            </w:r>
          </w:p>
        </w:tc>
        <w:tc>
          <w:tcPr>
            <w:tcW w:w="2367" w:type="dxa"/>
            <w:vAlign w:val="top"/>
          </w:tcPr>
          <w:p>
            <w:pPr>
              <w:ind w:left="290"/>
              <w:spacing w:before="53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汇聚交换机光模块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304"/>
              <w:spacing w:before="111" w:line="16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SFP-XG-LX-SM1310-D</w:t>
            </w:r>
          </w:p>
        </w:tc>
        <w:tc>
          <w:tcPr>
            <w:tcW w:w="1064" w:type="dxa"/>
            <w:vAlign w:val="top"/>
          </w:tcPr>
          <w:p>
            <w:pPr>
              <w:ind w:left="419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58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14" w:line="16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7</w:t>
            </w:r>
          </w:p>
        </w:tc>
        <w:tc>
          <w:tcPr>
            <w:tcW w:w="2367" w:type="dxa"/>
            <w:vAlign w:val="top"/>
          </w:tcPr>
          <w:p>
            <w:pPr>
              <w:ind w:left="731"/>
              <w:spacing w:before="57" w:line="21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认证系统</w:t>
            </w:r>
          </w:p>
        </w:tc>
        <w:tc>
          <w:tcPr>
            <w:tcW w:w="899" w:type="dxa"/>
            <w:vAlign w:val="top"/>
          </w:tcPr>
          <w:p>
            <w:pPr>
              <w:ind w:left="273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H3C</w:t>
            </w:r>
          </w:p>
        </w:tc>
        <w:tc>
          <w:tcPr>
            <w:tcW w:w="2596" w:type="dxa"/>
            <w:vAlign w:val="top"/>
          </w:tcPr>
          <w:p>
            <w:pPr>
              <w:ind w:left="1124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iMC</w:t>
            </w:r>
          </w:p>
        </w:tc>
        <w:tc>
          <w:tcPr>
            <w:tcW w:w="1064" w:type="dxa"/>
            <w:vAlign w:val="top"/>
          </w:tcPr>
          <w:p>
            <w:pPr>
              <w:ind w:left="469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13" w:line="16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8</w:t>
            </w:r>
          </w:p>
        </w:tc>
        <w:tc>
          <w:tcPr>
            <w:tcW w:w="2367" w:type="dxa"/>
            <w:vAlign w:val="top"/>
          </w:tcPr>
          <w:p>
            <w:pPr>
              <w:ind w:left="401"/>
              <w:spacing w:before="56" w:line="21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>配套线材与施工</w:t>
            </w:r>
          </w:p>
        </w:tc>
        <w:tc>
          <w:tcPr>
            <w:tcW w:w="8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96" w:type="dxa"/>
            <w:vAlign w:val="top"/>
          </w:tcPr>
          <w:p>
            <w:pPr>
              <w:ind w:left="1235"/>
              <w:spacing w:before="63" w:line="20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/</w:t>
            </w:r>
          </w:p>
        </w:tc>
        <w:tc>
          <w:tcPr>
            <w:tcW w:w="1064" w:type="dxa"/>
            <w:vAlign w:val="top"/>
          </w:tcPr>
          <w:p>
            <w:pPr>
              <w:ind w:left="469"/>
              <w:spacing w:before="112" w:line="16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664" w:type="dxa"/>
            <w:vAlign w:val="top"/>
          </w:tcPr>
          <w:p>
            <w:pPr>
              <w:ind w:left="265"/>
              <w:spacing w:before="104" w:line="16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9</w:t>
            </w:r>
          </w:p>
        </w:tc>
        <w:tc>
          <w:tcPr>
            <w:tcW w:w="2367" w:type="dxa"/>
            <w:vAlign w:val="top"/>
          </w:tcPr>
          <w:p>
            <w:pPr>
              <w:ind w:left="351"/>
              <w:spacing w:before="48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>2000M互联网专线</w:t>
            </w:r>
          </w:p>
        </w:tc>
        <w:tc>
          <w:tcPr>
            <w:tcW w:w="899" w:type="dxa"/>
            <w:vAlign w:val="top"/>
          </w:tcPr>
          <w:p>
            <w:pPr>
              <w:ind w:left="224"/>
              <w:spacing w:before="50" w:line="21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联通</w:t>
            </w:r>
          </w:p>
        </w:tc>
        <w:tc>
          <w:tcPr>
            <w:tcW w:w="25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4" w:type="dxa"/>
            <w:vAlign w:val="top"/>
          </w:tcPr>
          <w:p>
            <w:pPr>
              <w:ind w:left="358"/>
              <w:spacing w:before="47" w:line="21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>3年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24"/>
      <w:pgSz w:w="11900" w:h="16820"/>
      <w:pgMar w:top="400" w:right="1489" w:bottom="1272" w:left="1544" w:header="0" w:footer="105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30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"/>
      </w:rPr>
      <w:t>第1页共10页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174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14"/>
      </w:rPr>
      <w:t>第10页共10页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8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12"/>
      </w:rPr>
      <w:t>第2页共10页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8"/>
      <w:spacing w:line="219" w:lineRule="auto"/>
      <w:jc w:val="righ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第3页共10页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9"/>
      <w:spacing w:line="219" w:lineRule="auto"/>
      <w:jc w:val="right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7"/>
      </w:rPr>
      <w:t>第4页共10页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33"/>
      <w:spacing w:line="219" w:lineRule="auto"/>
      <w:jc w:val="right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6"/>
      </w:rPr>
      <w:t>第5页共10页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56"/>
      <w:spacing w:line="219" w:lineRule="auto"/>
      <w:jc w:val="right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"/>
      </w:rPr>
      <w:t>第6页共10页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7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9"/>
      </w:rPr>
      <w:t>第7页共10页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15"/>
      <w:spacing w:line="219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6"/>
      </w:rPr>
      <w:t>第8页共10页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50"/>
      <w:spacing w:line="222" w:lineRule="auto"/>
      <w:rPr>
        <w:rFonts w:ascii="FangSong" w:hAnsi="FangSong" w:eastAsia="FangSong" w:cs="FangSong"/>
        <w:sz w:val="23"/>
        <w:szCs w:val="23"/>
      </w:rPr>
    </w:pPr>
    <w:r>
      <w:rPr>
        <w:rFonts w:ascii="FangSong" w:hAnsi="FangSong" w:eastAsia="FangSong" w:cs="FangSong"/>
        <w:sz w:val="23"/>
        <w:szCs w:val="23"/>
        <w:spacing w:val="-26"/>
      </w:rPr>
      <w:t>第9页共10页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u w:val="single" w:color="auto"/>
        <w:spacing w:val="20"/>
      </w:rPr>
      <w:t>个同编号：</w:t>
    </w:r>
    <w:r>
      <w:rPr>
        <w:rFonts w:ascii="SimSun" w:hAnsi="SimSun" w:eastAsia="SimSun" w:cs="SimSun"/>
        <w:sz w:val="21"/>
        <w:szCs w:val="21"/>
        <w:u w:val="single" w:color="auto"/>
      </w:rPr>
      <w:t>JC</w:t>
    </w:r>
    <w:r>
      <w:rPr>
        <w:rFonts w:ascii="SimSun" w:hAnsi="SimSun" w:eastAsia="SimSun" w:cs="SimSun"/>
        <w:sz w:val="21"/>
        <w:szCs w:val="21"/>
        <w:u w:val="single" w:color="auto"/>
        <w:spacing w:val="20"/>
      </w:rPr>
      <w:t>21-5001-2022-000530</w:t>
    </w:r>
    <w:r>
      <w:rPr>
        <w:rFonts w:ascii="SimSun" w:hAnsi="SimSun" w:eastAsia="SimSun" w:cs="SimSun"/>
        <w:sz w:val="21"/>
        <w:szCs w:val="21"/>
        <w:u w:val="single" w:color="auto"/>
      </w:rPr>
      <w:t xml:space="preserve">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8" w:lineRule="auto"/>
      <w:tabs>
        <w:tab w:val="left" w:pos="1045"/>
      </w:tabs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  <w:u w:val="single" w:color="auto"/>
      </w:rPr>
      <w:tab/>
    </w:r>
    <w:r>
      <w:rPr>
        <w:rFonts w:ascii="SimSun" w:hAnsi="SimSun" w:eastAsia="SimSun" w:cs="SimSun"/>
        <w:sz w:val="14"/>
        <w:szCs w:val="14"/>
        <w:u w:val="single" w:color="auto"/>
        <w:spacing w:val="-1"/>
      </w:rPr>
      <w:t>1-5001-2022-000520</w:t>
    </w:r>
    <w:r>
      <w:rPr>
        <w:rFonts w:ascii="SimSun" w:hAnsi="SimSun" w:eastAsia="SimSun" w:cs="SimSun"/>
        <w:sz w:val="14"/>
        <w:szCs w:val="14"/>
        <w:u w:val="single" w:color="auto"/>
      </w:rPr>
      <w:t xml:space="preserve">                                                    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image" Target="media/image2.jpeg"/><Relationship Id="rId3" Type="http://schemas.openxmlformats.org/officeDocument/2006/relationships/footer" Target="footer2.xml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26" Type="http://schemas.openxmlformats.org/officeDocument/2006/relationships/settings" Target="settings.xml"/><Relationship Id="rId25" Type="http://schemas.openxmlformats.org/officeDocument/2006/relationships/image" Target="media/image12.jpeg"/><Relationship Id="rId24" Type="http://schemas.openxmlformats.org/officeDocument/2006/relationships/footer" Target="footer10.xml"/><Relationship Id="rId23" Type="http://schemas.openxmlformats.org/officeDocument/2006/relationships/image" Target="media/image11.png"/><Relationship Id="rId22" Type="http://schemas.openxmlformats.org/officeDocument/2006/relationships/image" Target="media/image10.jpe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image" Target="media/image1.png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footer" Target="footer9.xml"/><Relationship Id="rId16" Type="http://schemas.openxmlformats.org/officeDocument/2006/relationships/image" Target="media/image5.jpeg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image" Target="media/image4.jpeg"/><Relationship Id="rId12" Type="http://schemas.openxmlformats.org/officeDocument/2006/relationships/footer" Target="footer6.xml"/><Relationship Id="rId11" Type="http://schemas.openxmlformats.org/officeDocument/2006/relationships/image" Target="media/image3.jpeg"/><Relationship Id="rId10" Type="http://schemas.openxmlformats.org/officeDocument/2006/relationships/footer" Target="footer5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2023-04-22T23:07:04Z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2023-04-22T23:07:05</vt:filetime>
  </property>
  <property fmtid="{D5CDD505-2E9C-101B-9397-08002B2CF9AE}" pid="4" name="UsrData">
    <vt:lpwstr>6443f80fa2d7b000156cb155</vt:lpwstr>
  </property>
</Properties>
</file>