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190"/>
        <w:spacing w:before="75" w:line="219" w:lineRule="auto"/>
        <w:rPr>
          <w:rFonts w:ascii="SimSun" w:hAnsi="SimSun" w:eastAsia="SimSun" w:cs="SimSun"/>
          <w:sz w:val="38"/>
          <w:szCs w:val="38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7175501</wp:posOffset>
            </wp:positionH>
            <wp:positionV relativeFrom="page">
              <wp:posOffset>1130337</wp:posOffset>
            </wp:positionV>
            <wp:extent cx="336566" cy="1276343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6566" cy="1276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7296178</wp:posOffset>
            </wp:positionH>
            <wp:positionV relativeFrom="page">
              <wp:posOffset>5251486</wp:posOffset>
            </wp:positionV>
            <wp:extent cx="215889" cy="920676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889" cy="920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38"/>
          <w:szCs w:val="38"/>
          <w:b/>
          <w:bCs/>
          <w:spacing w:val="8"/>
        </w:rPr>
        <w:t>重庆市政府采购合同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205"/>
        <w:spacing w:before="78" w:line="321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  <w:position w:val="5"/>
        </w:rPr>
        <w:t>项目名称：重庆交通大学2022-2025年度家具维修维保合同</w:t>
      </w:r>
    </w:p>
    <w:p>
      <w:pPr>
        <w:ind w:left="205"/>
        <w:spacing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项</w:t>
      </w:r>
      <w:r>
        <w:rPr>
          <w:rFonts w:ascii="SimSun" w:hAnsi="SimSun" w:eastAsia="SimSun" w:cs="SimSun"/>
          <w:sz w:val="24"/>
          <w:szCs w:val="24"/>
          <w:spacing w:val="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目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号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：CQS22C00952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205"/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甲方(需方):</w:t>
      </w:r>
      <w:r>
        <w:rPr>
          <w:rFonts w:ascii="SimSun" w:hAnsi="SimSun" w:eastAsia="SimSun" w:cs="SimSun"/>
          <w:sz w:val="24"/>
          <w:szCs w:val="24"/>
          <w:spacing w:val="-13"/>
        </w:rPr>
        <w:t xml:space="preserve"> </w:t>
      </w:r>
      <w:r>
        <w:rPr>
          <w:rFonts w:ascii="SimSun" w:hAnsi="SimSun" w:eastAsia="SimSun" w:cs="SimSun"/>
          <w:sz w:val="24"/>
          <w:szCs w:val="24"/>
          <w:u w:val="single" w:color="auto"/>
          <w:spacing w:val="11"/>
        </w:rPr>
        <w:t>重</w:t>
      </w:r>
      <w:r>
        <w:rPr>
          <w:rFonts w:ascii="SimSun" w:hAnsi="SimSun" w:eastAsia="SimSun" w:cs="SimSun"/>
          <w:sz w:val="24"/>
          <w:szCs w:val="24"/>
          <w:u w:val="single" w:color="auto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u w:val="single" w:color="auto"/>
          <w:spacing w:val="11"/>
        </w:rPr>
        <w:t>庆</w:t>
      </w:r>
      <w:r>
        <w:rPr>
          <w:rFonts w:ascii="SimSun" w:hAnsi="SimSun" w:eastAsia="SimSun" w:cs="SimSun"/>
          <w:sz w:val="24"/>
          <w:szCs w:val="24"/>
          <w:u w:val="single" w:color="auto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u w:val="single" w:color="auto"/>
          <w:spacing w:val="11"/>
        </w:rPr>
        <w:t>交</w:t>
      </w:r>
      <w:r>
        <w:rPr>
          <w:rFonts w:ascii="SimSun" w:hAnsi="SimSun" w:eastAsia="SimSun" w:cs="SimSun"/>
          <w:sz w:val="24"/>
          <w:szCs w:val="24"/>
          <w:u w:val="single" w:color="auto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u w:val="single" w:color="auto"/>
          <w:spacing w:val="11"/>
        </w:rPr>
        <w:t>通</w:t>
      </w:r>
      <w:r>
        <w:rPr>
          <w:rFonts w:ascii="SimSun" w:hAnsi="SimSun" w:eastAsia="SimSun" w:cs="SimSun"/>
          <w:sz w:val="24"/>
          <w:szCs w:val="24"/>
          <w:u w:val="single" w:color="auto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u w:val="single" w:color="auto"/>
          <w:spacing w:val="11"/>
        </w:rPr>
        <w:t>大</w:t>
      </w:r>
      <w:r>
        <w:rPr>
          <w:rFonts w:ascii="SimSun" w:hAnsi="SimSun" w:eastAsia="SimSun" w:cs="SimSun"/>
          <w:sz w:val="24"/>
          <w:szCs w:val="24"/>
          <w:u w:val="single" w:color="auto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u w:val="single" w:color="auto"/>
          <w:spacing w:val="11"/>
        </w:rPr>
        <w:t>学</w:t>
      </w:r>
      <w:r>
        <w:rPr>
          <w:rFonts w:ascii="SimSun" w:hAnsi="SimSun" w:eastAsia="SimSun" w:cs="SimSun"/>
          <w:sz w:val="24"/>
          <w:szCs w:val="24"/>
          <w:u w:val="single" w:color="auto"/>
        </w:rPr>
        <w:t xml:space="preserve">          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ind w:left="205"/>
        <w:spacing w:before="78" w:line="34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乙方(供方):</w:t>
      </w:r>
      <w:r>
        <w:rPr>
          <w:rFonts w:ascii="SimSun" w:hAnsi="SimSun" w:eastAsia="SimSun" w:cs="SimSun"/>
          <w:sz w:val="24"/>
          <w:szCs w:val="24"/>
          <w:spacing w:val="-34"/>
        </w:rPr>
        <w:t xml:space="preserve"> </w:t>
      </w:r>
      <w:r>
        <w:rPr>
          <w:rFonts w:ascii="SimSun" w:hAnsi="SimSun" w:eastAsia="SimSun" w:cs="SimSun"/>
          <w:sz w:val="24"/>
          <w:szCs w:val="24"/>
          <w:u w:val="single" w:color="auto"/>
          <w:spacing w:val="15"/>
        </w:rPr>
        <w:t>重庆昊宸办公家具有限公司</w:t>
      </w:r>
    </w:p>
    <w:p>
      <w:pPr>
        <w:ind w:left="225"/>
        <w:spacing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经双方协商一致，达成以下购销合同：</w:t>
      </w:r>
    </w:p>
    <w:p>
      <w:pPr>
        <w:spacing w:line="33" w:lineRule="exact"/>
        <w:rPr/>
      </w:pPr>
      <w:r/>
    </w:p>
    <w:tbl>
      <w:tblPr>
        <w:tblStyle w:val="2"/>
        <w:tblW w:w="9940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3532"/>
        <w:gridCol w:w="979"/>
        <w:gridCol w:w="1828"/>
        <w:gridCol w:w="1738"/>
        <w:gridCol w:w="1863"/>
      </w:tblGrid>
      <w:tr>
        <w:trPr>
          <w:trHeight w:val="734" w:hRule="atLeast"/>
        </w:trPr>
        <w:tc>
          <w:tcPr>
            <w:tcW w:w="3532" w:type="dxa"/>
            <w:vAlign w:val="top"/>
          </w:tcPr>
          <w:p>
            <w:pPr>
              <w:ind w:left="1275"/>
              <w:spacing w:before="255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>项目名称</w:t>
            </w:r>
          </w:p>
        </w:tc>
        <w:tc>
          <w:tcPr>
            <w:tcW w:w="979" w:type="dxa"/>
            <w:vAlign w:val="top"/>
          </w:tcPr>
          <w:p>
            <w:pPr>
              <w:ind w:left="243"/>
              <w:spacing w:before="25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4"/>
              </w:rPr>
              <w:t>数量</w:t>
            </w:r>
          </w:p>
        </w:tc>
        <w:tc>
          <w:tcPr>
            <w:tcW w:w="1828" w:type="dxa"/>
            <w:vAlign w:val="top"/>
          </w:tcPr>
          <w:p>
            <w:pPr>
              <w:ind w:left="664"/>
              <w:spacing w:before="252"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>总价</w:t>
            </w:r>
          </w:p>
        </w:tc>
        <w:tc>
          <w:tcPr>
            <w:tcW w:w="1738" w:type="dxa"/>
            <w:vAlign w:val="top"/>
          </w:tcPr>
          <w:p>
            <w:pPr>
              <w:ind w:left="436"/>
              <w:spacing w:before="25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>服务时间</w:t>
            </w:r>
          </w:p>
        </w:tc>
        <w:tc>
          <w:tcPr>
            <w:tcW w:w="1863" w:type="dxa"/>
            <w:vAlign w:val="top"/>
          </w:tcPr>
          <w:p>
            <w:pPr>
              <w:ind w:left="468"/>
              <w:spacing w:before="25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>服务地点</w:t>
            </w:r>
          </w:p>
        </w:tc>
      </w:tr>
      <w:tr>
        <w:trPr>
          <w:trHeight w:val="1249" w:hRule="atLeast"/>
        </w:trPr>
        <w:tc>
          <w:tcPr>
            <w:tcW w:w="3532" w:type="dxa"/>
            <w:vAlign w:val="top"/>
          </w:tcPr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ind w:left="1154" w:hanging="1019"/>
              <w:spacing w:before="74" w:line="242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9"/>
              </w:rPr>
              <w:t>重庆交通大学2022-2025年度家具维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8"/>
              </w:rPr>
              <w:t>修维保项目</w:t>
            </w:r>
          </w:p>
        </w:tc>
        <w:tc>
          <w:tcPr>
            <w:tcW w:w="979" w:type="dxa"/>
            <w:vAlign w:val="top"/>
          </w:tcPr>
          <w:p>
            <w:pPr>
              <w:spacing w:line="430" w:lineRule="auto"/>
              <w:rPr>
                <w:rFonts w:ascii="Arial"/>
                <w:sz w:val="21"/>
              </w:rPr>
            </w:pPr>
            <w:r/>
          </w:p>
          <w:p>
            <w:pPr>
              <w:ind w:left="303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7"/>
              </w:rPr>
              <w:t>1项</w:t>
            </w:r>
          </w:p>
        </w:tc>
        <w:tc>
          <w:tcPr>
            <w:tcW w:w="1828" w:type="dxa"/>
            <w:vAlign w:val="top"/>
          </w:tcPr>
          <w:p>
            <w:pPr>
              <w:ind w:left="4" w:firstLine="189"/>
              <w:spacing w:before="61" w:line="241" w:lineRule="auto"/>
              <w:jc w:val="righ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全费用综合单价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6"/>
              </w:rPr>
              <w:t>限价×80%×维修数</w:t>
            </w:r>
            <w:r>
              <w:rPr>
                <w:rFonts w:ascii="SimSun" w:hAnsi="SimSun" w:eastAsia="SimSun" w:cs="SimSun"/>
                <w:sz w:val="22"/>
                <w:szCs w:val="22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量(每年结算金额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不超过50万元)</w:t>
            </w:r>
          </w:p>
        </w:tc>
        <w:tc>
          <w:tcPr>
            <w:tcW w:w="1738" w:type="dxa"/>
            <w:vAlign w:val="top"/>
          </w:tcPr>
          <w:p>
            <w:pPr>
              <w:ind w:left="166"/>
              <w:spacing w:before="231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7"/>
              </w:rPr>
              <w:t>自签订合同之日</w:t>
            </w:r>
          </w:p>
          <w:p>
            <w:pPr>
              <w:ind w:left="436"/>
              <w:spacing w:before="3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起</w:t>
            </w:r>
            <w:r>
              <w:rPr>
                <w:rFonts w:ascii="SimSun" w:hAnsi="SimSun" w:eastAsia="SimSun" w:cs="SimSun"/>
                <w:sz w:val="24"/>
                <w:szCs w:val="24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3</w:t>
            </w:r>
            <w:r>
              <w:rPr>
                <w:rFonts w:ascii="SimSun" w:hAnsi="SimSun" w:eastAsia="SimSun" w:cs="SimSun"/>
                <w:sz w:val="24"/>
                <w:szCs w:val="24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年</w:t>
            </w:r>
            <w:r>
              <w:rPr>
                <w:rFonts w:ascii="SimSun" w:hAnsi="SimSun" w:eastAsia="SimSun" w:cs="SimSun"/>
                <w:sz w:val="24"/>
                <w:szCs w:val="24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，</w:t>
            </w:r>
          </w:p>
          <w:p>
            <w:pPr>
              <w:ind w:left="156"/>
              <w:spacing w:before="35" w:line="236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12"/>
              </w:rPr>
              <w:t>2022-2025年。</w:t>
            </w:r>
          </w:p>
        </w:tc>
        <w:tc>
          <w:tcPr>
            <w:tcW w:w="1863" w:type="dxa"/>
            <w:vAlign w:val="top"/>
          </w:tcPr>
          <w:p>
            <w:pPr>
              <w:ind w:left="118"/>
              <w:spacing w:before="209" w:line="248" w:lineRule="auto"/>
              <w:jc w:val="both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重庆交通大学南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14"/>
              </w:rPr>
              <w:t>岸校区、科学城校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9"/>
              </w:rPr>
              <w:t>区</w:t>
            </w:r>
            <w:r>
              <w:rPr>
                <w:rFonts w:ascii="SimSun" w:hAnsi="SimSun" w:eastAsia="SimSun" w:cs="SimSun"/>
                <w:sz w:val="23"/>
                <w:szCs w:val="23"/>
                <w:spacing w:val="6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9"/>
              </w:rPr>
              <w:t>。</w:t>
            </w:r>
          </w:p>
        </w:tc>
      </w:tr>
      <w:tr>
        <w:trPr>
          <w:trHeight w:val="499" w:hRule="atLeast"/>
        </w:trPr>
        <w:tc>
          <w:tcPr>
            <w:tcW w:w="9940" w:type="dxa"/>
            <w:vAlign w:val="top"/>
            <w:gridSpan w:val="5"/>
          </w:tcPr>
          <w:p>
            <w:pPr>
              <w:ind w:left="125"/>
              <w:spacing w:before="129"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>合计人民币(小写):全费用综合单价限价×80%×维修数量(每年结算金额不超过50万元)</w:t>
            </w:r>
          </w:p>
        </w:tc>
      </w:tr>
      <w:tr>
        <w:trPr>
          <w:trHeight w:val="440" w:hRule="atLeast"/>
        </w:trPr>
        <w:tc>
          <w:tcPr>
            <w:tcW w:w="9940" w:type="dxa"/>
            <w:vAlign w:val="top"/>
            <w:gridSpan w:val="5"/>
          </w:tcPr>
          <w:p>
            <w:pPr>
              <w:ind w:left="125"/>
              <w:spacing w:before="100"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>合计人民币(大写):全费用综合单价限价×80%×维修数量(每年结算金额不超过伍拾万元)</w:t>
            </w:r>
          </w:p>
        </w:tc>
      </w:tr>
      <w:tr>
        <w:trPr>
          <w:trHeight w:val="430" w:hRule="atLeast"/>
        </w:trPr>
        <w:tc>
          <w:tcPr>
            <w:tcW w:w="9940" w:type="dxa"/>
            <w:vAlign w:val="top"/>
            <w:gridSpan w:val="5"/>
          </w:tcPr>
          <w:p>
            <w:pPr>
              <w:ind w:left="125"/>
              <w:spacing w:before="100"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>全费用综合单价限价及更换标准详见合同附件。</w:t>
            </w:r>
          </w:p>
        </w:tc>
      </w:tr>
      <w:tr>
        <w:trPr>
          <w:trHeight w:val="7978" w:hRule="atLeast"/>
        </w:trPr>
        <w:tc>
          <w:tcPr>
            <w:tcW w:w="9940" w:type="dxa"/>
            <w:vAlign w:val="top"/>
            <w:gridSpan w:val="5"/>
          </w:tcPr>
          <w:p>
            <w:pPr>
              <w:ind w:left="575"/>
              <w:spacing w:before="113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9"/>
              </w:rPr>
              <w:t>一</w:t>
            </w:r>
            <w:r>
              <w:rPr>
                <w:rFonts w:ascii="SimSun" w:hAnsi="SimSun" w:eastAsia="SimSun" w:cs="SimSun"/>
                <w:sz w:val="24"/>
                <w:szCs w:val="24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9"/>
              </w:rPr>
              <w:t>、服务内容。</w:t>
            </w:r>
          </w:p>
          <w:p>
            <w:pPr>
              <w:ind w:left="594"/>
              <w:spacing w:before="174" w:line="490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9"/>
                <w:position w:val="19"/>
              </w:rPr>
              <w:t>为保障学校教学、学生生活的正常进行，甲方委托乙方对重庆交通大学南岸校区、科学城</w:t>
            </w:r>
          </w:p>
          <w:p>
            <w:pPr>
              <w:ind w:left="125"/>
              <w:spacing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校区2022-2025年度教室、学生宿舍家具进行维保维修。</w:t>
            </w:r>
          </w:p>
          <w:p>
            <w:pPr>
              <w:ind w:left="578"/>
              <w:spacing w:before="163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二、服务要求</w:t>
            </w:r>
          </w:p>
          <w:p>
            <w:pPr>
              <w:ind w:left="125" w:firstLine="488"/>
              <w:spacing w:before="198" w:line="375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(一)根据维修范围内的教室、学生公寓等数量及类型，乙方应定期或不定期派遣本单位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从业的专业维修人员到校对教室课桌椅、学生宿舍家具进行巡检：在上课期间每周进行巡检一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次，在寒暑假放假后集中巡检一次，并做好巡检和签到记录，记录须由甲方和乙方双方签字后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方才生效。(在维保过程中造成的家具损坏，由乙方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自行承担维修费用。若某件家具有多个故</w:t>
            </w:r>
          </w:p>
          <w:p>
            <w:pPr>
              <w:ind w:left="125"/>
              <w:spacing w:before="1" w:line="225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>障需要多次维修，以维修价格最高故障进行计费，不得重复计费)。</w:t>
            </w:r>
          </w:p>
          <w:p>
            <w:pPr>
              <w:ind w:left="715"/>
              <w:spacing w:before="219" w:line="491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9"/>
                <w:position w:val="19"/>
              </w:rPr>
              <w:t>(二)乙方派出的教室、学生公寓家具巡检人员不得低于2人(南岸校区至少1人，科学</w:t>
            </w:r>
          </w:p>
          <w:p>
            <w:pPr>
              <w:ind w:left="125"/>
              <w:spacing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7"/>
              </w:rPr>
              <w:t>城校区至少1人)。</w:t>
            </w:r>
          </w:p>
          <w:p>
            <w:pPr>
              <w:ind w:left="125" w:firstLine="622"/>
              <w:spacing w:before="166" w:line="37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(三)故障响应时间：对需要及时进行维修的项目，乙方须在甲方要求的时间内安排本单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位专业维修人员维修完毕，如遇特殊损坏，应在双方确认更换后，8小时内更换配件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，更换破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损板材及金属管件在48小时内完成。乙方需严格遵守服务响应时效，在规定时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间内做出响应。</w:t>
            </w:r>
          </w:p>
          <w:p>
            <w:pPr>
              <w:ind w:left="125"/>
              <w:spacing w:before="1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乙方响应无故迟到一次罚款200元，无故延迟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一</w:t>
            </w:r>
            <w:r>
              <w:rPr>
                <w:rFonts w:ascii="SimSun" w:hAnsi="SimSun" w:eastAsia="SimSun" w:cs="SimSun"/>
                <w:sz w:val="23"/>
                <w:szCs w:val="23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日罚款500元。</w:t>
            </w:r>
          </w:p>
          <w:p>
            <w:pPr>
              <w:ind w:left="715"/>
              <w:spacing w:before="176" w:line="479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6"/>
                <w:position w:val="18"/>
              </w:rPr>
              <w:t>(四)服务所需备件的供应时效：根据用户设</w:t>
            </w:r>
            <w:r>
              <w:rPr>
                <w:rFonts w:ascii="SimSun" w:hAnsi="SimSun" w:eastAsia="SimSun" w:cs="SimSun"/>
                <w:sz w:val="24"/>
                <w:szCs w:val="24"/>
                <w:spacing w:val="5"/>
                <w:position w:val="18"/>
              </w:rPr>
              <w:t>备的特殊需求，为本项目建立单独的备件</w:t>
            </w:r>
          </w:p>
          <w:p>
            <w:pPr>
              <w:ind w:left="125"/>
              <w:spacing w:before="1"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>储存，保证学校家居的常用备件能在正常服务响应时间内能100%的及时提供。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"/>
          <w:pgSz w:w="11900" w:h="16820"/>
          <w:pgMar w:top="722" w:right="69" w:bottom="1246" w:left="984" w:header="0" w:footer="1166" w:gutter="0"/>
        </w:sectPr>
        <w:rPr/>
      </w:pPr>
    </w:p>
    <w:tbl>
      <w:tblPr>
        <w:tblStyle w:val="2"/>
        <w:tblW w:w="9930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9930"/>
      </w:tblGrid>
      <w:tr>
        <w:trPr>
          <w:trHeight w:val="1614" w:hRule="atLeast"/>
        </w:trPr>
        <w:tc>
          <w:tcPr>
            <w:tcW w:w="9930" w:type="dxa"/>
            <w:vAlign w:val="top"/>
          </w:tcPr>
          <w:p>
            <w:pPr>
              <w:ind w:left="705"/>
              <w:spacing w:before="103" w:line="481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6"/>
                <w:position w:val="19"/>
              </w:rPr>
              <w:t>(五)特殊情况：在甲方举行重大考试或活动前，乙方提前24小时进行非常规巡检</w:t>
            </w:r>
            <w:r>
              <w:rPr>
                <w:rFonts w:ascii="SimSun" w:hAnsi="SimSun" w:eastAsia="SimSun" w:cs="SimSun"/>
                <w:sz w:val="23"/>
                <w:szCs w:val="23"/>
                <w:spacing w:val="15"/>
                <w:position w:val="19"/>
              </w:rPr>
              <w:t>，在</w:t>
            </w:r>
          </w:p>
          <w:p>
            <w:pPr>
              <w:ind w:left="115"/>
              <w:spacing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活动期间根据甲方的要求加派人员进行维修维保服务。</w:t>
            </w:r>
          </w:p>
          <w:p>
            <w:pPr>
              <w:ind w:left="705"/>
              <w:spacing w:before="195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(六)对确实不能修复的课桌椅、床等，采用新购进行整体更换。</w:t>
            </w:r>
          </w:p>
        </w:tc>
      </w:tr>
      <w:tr>
        <w:trPr>
          <w:trHeight w:val="10812" w:hRule="atLeast"/>
        </w:trPr>
        <w:tc>
          <w:tcPr>
            <w:tcW w:w="9930" w:type="dxa"/>
            <w:vAlign w:val="top"/>
          </w:tcPr>
          <w:p>
            <w:pPr>
              <w:ind w:left="545"/>
              <w:spacing w:before="121" w:line="22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三、具体要求：</w:t>
            </w:r>
          </w:p>
          <w:p>
            <w:pPr>
              <w:ind w:left="695"/>
              <w:spacing w:before="41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(一)课桌椅、学生公寓家具质量及配件材质须满足国家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相关标准要求。</w:t>
            </w:r>
          </w:p>
          <w:p>
            <w:pPr>
              <w:ind w:left="715"/>
              <w:spacing w:before="128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(二)课桌椅、学生公寓家具运行标准</w:t>
            </w:r>
          </w:p>
          <w:p>
            <w:pPr>
              <w:ind w:left="125" w:right="76" w:firstLine="469"/>
              <w:spacing w:before="58" w:line="25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保证课桌椅、学生公寓家具的正常使用。课桌椅、家具维修和保养具体包括：更换、维修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课桌椅、家具配件、破损的家具板材、无法使用或存在安全隐患的金属管件等。</w:t>
            </w:r>
          </w:p>
          <w:p>
            <w:pPr>
              <w:ind w:left="575"/>
              <w:spacing w:before="77" w:line="391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  <w:position w:val="12"/>
              </w:rPr>
              <w:t>维修项目超出清单范围外的，甲乙双方协商一致后，产生的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  <w:position w:val="12"/>
              </w:rPr>
              <w:t>费用按甲乙双方协商一致的价</w:t>
            </w:r>
          </w:p>
          <w:p>
            <w:pPr>
              <w:ind w:left="135"/>
              <w:spacing w:before="1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格×折扣率×数量进行结算。</w:t>
            </w:r>
          </w:p>
          <w:p>
            <w:pPr>
              <w:ind w:left="545"/>
              <w:spacing w:before="86" w:line="340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6"/>
                <w:position w:val="7"/>
              </w:rPr>
              <w:t>(二)乙方维修人员管理标准</w:t>
            </w:r>
          </w:p>
          <w:p>
            <w:pPr>
              <w:ind w:left="545"/>
              <w:spacing w:before="1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1.纪律标准</w:t>
            </w:r>
          </w:p>
          <w:p>
            <w:pPr>
              <w:ind w:left="115" w:right="116" w:firstLine="479"/>
              <w:spacing w:before="67" w:line="25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乙方工作人员需严格听从甲方管理层的合理安排，以及甲方老师的合理要求，积极主动解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决现场发生的问题。</w:t>
            </w:r>
          </w:p>
          <w:p>
            <w:pPr>
              <w:ind w:left="545"/>
              <w:spacing w:before="97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乙方工作人员注意自身的语言和行为，不得发生争吵和打架的情况；</w:t>
            </w:r>
          </w:p>
          <w:p>
            <w:pPr>
              <w:ind w:left="125" w:right="112" w:firstLine="469"/>
              <w:spacing w:before="87" w:line="25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乙方工作人员要爱护甲方的公共设备，在工作过程中，捡到甲方丢失的一些工作或生活物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品，</w:t>
            </w:r>
            <w:r>
              <w:rPr>
                <w:rFonts w:ascii="SimSun" w:hAnsi="SimSun" w:eastAsia="SimSun" w:cs="SimSun"/>
                <w:sz w:val="23"/>
                <w:szCs w:val="23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一律上交失主，如一时找不到失主，则应把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物品交给甲方管理办公室处；</w:t>
            </w:r>
          </w:p>
          <w:p>
            <w:pPr>
              <w:ind w:left="545"/>
              <w:spacing w:before="127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2.人身及设备安全标准</w:t>
            </w:r>
          </w:p>
          <w:p>
            <w:pPr>
              <w:ind w:left="115" w:right="115" w:firstLine="479"/>
              <w:spacing w:before="48" w:line="25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乙方工作人员工作期间应遵守技术操作流程，注意人身安全，工作过程中引起的安全(人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身、财产)事故，由乙方承担全部责任。</w:t>
            </w:r>
          </w:p>
          <w:p>
            <w:pPr>
              <w:ind w:left="545"/>
              <w:spacing w:before="85" w:line="21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乙方工作人员在维修期间造成教学设备丢失的，乙方应照价赔偿；</w:t>
            </w:r>
          </w:p>
          <w:p>
            <w:pPr>
              <w:ind w:left="545"/>
              <w:spacing w:before="100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乙方工作人员在维修教学课桌椅时，如损坏了教学设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备，由乙方负责维修或赔偿。</w:t>
            </w:r>
          </w:p>
          <w:p>
            <w:pPr>
              <w:ind w:left="545"/>
              <w:spacing w:before="137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3.教学保障标准</w:t>
            </w:r>
          </w:p>
          <w:p>
            <w:pPr>
              <w:ind w:left="545"/>
              <w:spacing w:before="37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乙方工作人员严格执行甲方要求，不得推诿；</w:t>
            </w:r>
          </w:p>
          <w:p>
            <w:pPr>
              <w:ind w:left="125" w:right="132" w:firstLine="489"/>
              <w:spacing w:before="87" w:line="25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乙方必须保障所管辖教室课桌椅、学生公寓家具的正常运行，维修家具的合格率必须在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0"/>
              </w:rPr>
              <w:t>95%以上且保修期一年(自验收合格之日起计算);</w:t>
            </w:r>
          </w:p>
          <w:p>
            <w:pPr>
              <w:ind w:left="105" w:right="103" w:firstLine="489"/>
              <w:spacing w:before="86" w:line="27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乙方要对各个教学楼建立良好的预警措施，保障对突发的设备故障进行修复；预警措施包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括经常性的检查设备、及时汇报设备状态，以减少突发的设备故障比例；向甲方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建议一些重要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设备提供备用机以保障突发设备事故的处理速度。</w:t>
            </w:r>
          </w:p>
          <w:p>
            <w:pPr>
              <w:ind w:left="545"/>
              <w:spacing w:before="119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>4.客户满意度调查标准</w:t>
            </w:r>
          </w:p>
          <w:p>
            <w:pPr>
              <w:ind w:left="545"/>
              <w:spacing w:before="57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乙方人员每天必须填写《故障巡检维修记录》;</w:t>
            </w:r>
          </w:p>
          <w:p>
            <w:pPr>
              <w:ind w:left="105" w:right="114" w:firstLine="489"/>
              <w:spacing w:before="76" w:line="25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乙方每学期末写一份情况汇总交甲方。汇报的内容包括总结维修保障情况、响应情况、设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备现状等。可以向甲方提出一些设备管理上的建议，以保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障教学环境顺利运行。</w:t>
            </w:r>
          </w:p>
        </w:tc>
      </w:tr>
      <w:tr>
        <w:trPr>
          <w:trHeight w:val="1873" w:hRule="atLeast"/>
        </w:trPr>
        <w:tc>
          <w:tcPr>
            <w:tcW w:w="9930" w:type="dxa"/>
            <w:vAlign w:val="top"/>
          </w:tcPr>
          <w:p>
            <w:pPr>
              <w:ind w:left="545"/>
              <w:spacing w:before="128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四、付款方式：</w:t>
            </w:r>
          </w:p>
          <w:p>
            <w:pPr>
              <w:ind w:left="105" w:right="127" w:firstLine="489"/>
              <w:spacing w:before="183" w:line="37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维修费用以中标单价(全费用综合单价限价×80%)与实际维修数量进行计算，维修费用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每半年结算一次，乙方每半年向甲方提交应付维修费的发票及验收清单(甲乙双方组成验收组</w:t>
            </w:r>
          </w:p>
          <w:p>
            <w:pPr>
              <w:ind w:left="105"/>
              <w:spacing w:line="21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>进行验收),甲方通过付款审核后，以转帐方式向乙方支付款项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"/>
          <w:pgSz w:w="11900" w:h="16860"/>
          <w:pgMar w:top="785" w:right="984" w:bottom="1285" w:left="974" w:header="0" w:footer="1136" w:gutter="0"/>
        </w:sectPr>
        <w:rPr/>
      </w:pPr>
    </w:p>
    <w:tbl>
      <w:tblPr>
        <w:tblStyle w:val="2"/>
        <w:tblW w:w="9930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978"/>
        <w:gridCol w:w="2522"/>
        <w:gridCol w:w="5430"/>
      </w:tblGrid>
      <w:tr>
        <w:trPr>
          <w:trHeight w:val="644" w:hRule="atLeast"/>
        </w:trPr>
        <w:tc>
          <w:tcPr>
            <w:tcW w:w="9930" w:type="dxa"/>
            <w:vAlign w:val="top"/>
            <w:gridSpan w:val="3"/>
          </w:tcPr>
          <w:p>
            <w:pPr>
              <w:ind w:left="585"/>
              <w:spacing w:before="202"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drawing>
                <wp:anchor distT="0" distB="0" distL="0" distR="0" simplePos="0" relativeHeight="251662336" behindDoc="0" locked="0" layoutInCell="0" allowOverlap="1">
                  <wp:simplePos x="0" y="0"/>
                  <wp:positionH relativeFrom="page">
                    <wp:posOffset>1403317</wp:posOffset>
                  </wp:positionH>
                  <wp:positionV relativeFrom="page">
                    <wp:posOffset>6496051</wp:posOffset>
                  </wp:positionV>
                  <wp:extent cx="2216170" cy="609625"/>
                  <wp:effectExtent l="0" t="0" r="0" b="0"/>
                  <wp:wrapNone/>
                  <wp:docPr id="3" name="IM 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" name="IM 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216170" cy="6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>备注：付款金额计算方式为：付款金额=全费用综合单价限价×折扣率×数量。</w:t>
            </w:r>
          </w:p>
        </w:tc>
      </w:tr>
      <w:tr>
        <w:trPr>
          <w:trHeight w:val="1409" w:hRule="atLeast"/>
        </w:trPr>
        <w:tc>
          <w:tcPr>
            <w:tcW w:w="9930" w:type="dxa"/>
            <w:vAlign w:val="top"/>
            <w:gridSpan w:val="3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ind w:left="585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7"/>
              </w:rPr>
              <w:t>五、违约责任：</w:t>
            </w:r>
          </w:p>
          <w:p>
            <w:pPr>
              <w:ind w:left="585"/>
              <w:spacing w:before="173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>按《中华人民共和国民法典》《中华人民共和国政府采购法》执行，或按双方约定。</w:t>
            </w:r>
          </w:p>
        </w:tc>
      </w:tr>
      <w:tr>
        <w:trPr>
          <w:trHeight w:val="2618" w:hRule="atLeast"/>
        </w:trPr>
        <w:tc>
          <w:tcPr>
            <w:tcW w:w="9930" w:type="dxa"/>
            <w:vAlign w:val="top"/>
            <w:gridSpan w:val="3"/>
          </w:tcPr>
          <w:p>
            <w:pPr>
              <w:ind w:left="585"/>
              <w:spacing w:before="282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3"/>
              </w:rPr>
              <w:t>六、其它约定事项：</w:t>
            </w:r>
          </w:p>
          <w:p>
            <w:pPr>
              <w:ind w:left="585"/>
              <w:spacing w:before="171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4"/>
              </w:rPr>
              <w:t>1.招标文件及其澄清文件、投标文件和承诺是本合</w:t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>同不可分割的部分。</w:t>
            </w:r>
          </w:p>
          <w:p>
            <w:pPr>
              <w:ind w:left="585"/>
              <w:spacing w:before="185" w:line="450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3"/>
                <w:position w:val="15"/>
              </w:rPr>
              <w:t>2.本合同如发生争议由双方协商解决，协商不成向甲方所在地仲裁机构提请仲裁。</w:t>
            </w:r>
          </w:p>
          <w:p>
            <w:pPr>
              <w:ind w:left="585"/>
              <w:spacing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3.本合同一式陆份，</w:t>
            </w:r>
            <w:r>
              <w:rPr>
                <w:rFonts w:ascii="SimSun" w:hAnsi="SimSun" w:eastAsia="SimSun" w:cs="SimSun"/>
                <w:sz w:val="24"/>
                <w:szCs w:val="24"/>
                <w:spacing w:val="28"/>
              </w:rPr>
              <w:t xml:space="preserve">  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甲方肆份，乙方贰份，具备同等法律效力。</w:t>
            </w:r>
          </w:p>
          <w:p>
            <w:pPr>
              <w:ind w:left="585"/>
              <w:spacing w:before="21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7"/>
              </w:rPr>
              <w:t>4.其他：未尽事宜双方友好协商。</w:t>
            </w:r>
          </w:p>
        </w:tc>
      </w:tr>
      <w:tr>
        <w:trPr>
          <w:trHeight w:val="2817" w:hRule="atLeast"/>
        </w:trPr>
        <w:tc>
          <w:tcPr>
            <w:tcW w:w="4500" w:type="dxa"/>
            <w:vAlign w:val="top"/>
            <w:gridSpan w:val="2"/>
            <w:tcBorders>
              <w:bottom w:val="none" w:color="000000" w:sz="8" w:space="0"/>
            </w:tcBorders>
          </w:tcPr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ind w:left="105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drawing>
                <wp:anchor distT="0" distB="0" distL="0" distR="0" simplePos="0" relativeHeight="251664384" behindDoc="0" locked="0" layoutInCell="1" allowOverlap="1">
                  <wp:simplePos x="0" y="0"/>
                  <wp:positionH relativeFrom="column">
                    <wp:posOffset>1254151</wp:posOffset>
                  </wp:positionH>
                  <wp:positionV relativeFrom="paragraph">
                    <wp:posOffset>-229774</wp:posOffset>
                  </wp:positionV>
                  <wp:extent cx="1651019" cy="1771719"/>
                  <wp:effectExtent l="0" t="0" r="0" b="0"/>
                  <wp:wrapNone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51019" cy="1771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>甲方：重庆交通大学</w:t>
            </w:r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105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地址：重庆市南岸区学府大道66号</w:t>
            </w:r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ind w:left="105"/>
              <w:spacing w:before="78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电话：023-62652445</w:t>
            </w:r>
          </w:p>
          <w:p>
            <w:pPr>
              <w:ind w:left="105"/>
              <w:spacing w:before="9" w:line="630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24"/>
                <w:position w:val="30"/>
              </w:rPr>
              <w:t>法人代表：</w:t>
            </w:r>
          </w:p>
          <w:p>
            <w:pPr>
              <w:ind w:left="105"/>
              <w:spacing w:before="1" w:line="19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24"/>
              </w:rPr>
              <w:t>授权代表：</w:t>
            </w:r>
          </w:p>
        </w:tc>
        <w:tc>
          <w:tcPr>
            <w:tcW w:w="5430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drawing>
                <wp:anchor distT="0" distB="0" distL="0" distR="0" simplePos="0" relativeHeight="251663360" behindDoc="0" locked="0" layoutInCell="1" allowOverlap="1">
                  <wp:simplePos x="0" y="0"/>
                  <wp:positionH relativeFrom="column">
                    <wp:posOffset>530228</wp:posOffset>
                  </wp:positionH>
                  <wp:positionV relativeFrom="paragraph">
                    <wp:posOffset>-115225</wp:posOffset>
                  </wp:positionV>
                  <wp:extent cx="1562155" cy="1568438"/>
                  <wp:effectExtent l="0" t="0" r="0" b="0"/>
                  <wp:wrapNone/>
                  <wp:docPr id="5" name="IM 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" name="IM 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62155" cy="156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>乙方：重庆昊宸办公家具有限公司</w:t>
            </w:r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5"/>
              </w:rPr>
              <w:t>地址：重庆市九龙坡区黄杨路83号3幢25-1号</w:t>
            </w:r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78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电话：023-68483216、13996256295</w:t>
            </w:r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传真：023-68483216</w:t>
            </w:r>
          </w:p>
          <w:p>
            <w:pPr>
              <w:ind w:left="115"/>
              <w:spacing w:before="317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开户银行：重庆农商行九龙坡支行春江花月分理处</w:t>
            </w:r>
          </w:p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78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账号：0424010120010000327</w:t>
            </w:r>
          </w:p>
          <w:p>
            <w:pPr>
              <w:ind w:left="115"/>
              <w:spacing w:before="212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授权代表：</w:t>
            </w:r>
            <w:r>
              <w:rPr>
                <w:rFonts w:ascii="SimSun" w:hAnsi="SimSun" w:eastAsia="SimSun" w:cs="SimSun"/>
                <w:sz w:val="24"/>
                <w:szCs w:val="24"/>
                <w:spacing w:val="9"/>
              </w:rPr>
              <w:t xml:space="preserve"> </w:t>
            </w:r>
            <w:r>
              <w:rPr>
                <w:sz w:val="24"/>
                <w:szCs w:val="24"/>
                <w:position w:val="-24"/>
              </w:rPr>
              <w:drawing>
                <wp:inline distT="0" distB="0" distL="0" distR="0">
                  <wp:extent cx="1009699" cy="336508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09699" cy="33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478" w:hRule="atLeast"/>
        </w:trPr>
        <w:tc>
          <w:tcPr>
            <w:tcW w:w="1978" w:type="dxa"/>
            <w:vAlign w:val="top"/>
            <w:tcBorders>
              <w:right w:val="none" w:color="000000" w:sz="8" w:space="0"/>
              <w:top w:val="none" w:color="000000" w:sz="8" w:space="0"/>
            </w:tcBorders>
          </w:tcPr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ind w:left="105"/>
              <w:spacing w:before="7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28"/>
              </w:rPr>
              <w:t>经办人</w:t>
            </w:r>
            <w:r>
              <w:rPr>
                <w:rFonts w:ascii="SimSun" w:hAnsi="SimSun" w:eastAsia="SimSun" w:cs="SimSun"/>
                <w:sz w:val="24"/>
                <w:szCs w:val="24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28"/>
              </w:rPr>
              <w:t>：</w:t>
            </w:r>
          </w:p>
          <w:p>
            <w:pPr>
              <w:spacing w:line="442" w:lineRule="auto"/>
              <w:rPr>
                <w:rFonts w:ascii="Arial"/>
                <w:sz w:val="21"/>
              </w:rPr>
            </w:pPr>
            <w:r/>
          </w:p>
          <w:p>
            <w:pPr>
              <w:ind w:firstLine="515"/>
              <w:spacing w:line="830" w:lineRule="exact"/>
              <w:textAlignment w:val="center"/>
              <w:rPr/>
            </w:pPr>
            <w:r>
              <w:drawing>
                <wp:inline distT="0" distB="0" distL="0" distR="0">
                  <wp:extent cx="882674" cy="527003"/>
                  <wp:effectExtent l="0" t="0" r="0" b="0"/>
                  <wp:docPr id="7" name="IM 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" name="IM 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82674" cy="52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2" w:type="dxa"/>
            <w:vAlign w:val="top"/>
            <w:tcBorders>
              <w:left w:val="none" w:color="000000" w:sz="8" w:space="0"/>
              <w:top w:val="none" w:color="000000" w:sz="8" w:space="0"/>
            </w:tcBorders>
          </w:tcPr>
          <w:p>
            <w:pPr>
              <w:ind w:firstLine="62"/>
              <w:spacing w:before="27" w:line="1219" w:lineRule="exact"/>
              <w:textAlignment w:val="center"/>
              <w:rPr/>
            </w:pPr>
            <w:r>
              <w:drawing>
                <wp:inline distT="0" distB="0" distL="0" distR="0">
                  <wp:extent cx="1435130" cy="774656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35130" cy="77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0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03" w:hRule="atLeast"/>
        </w:trPr>
        <w:tc>
          <w:tcPr>
            <w:tcW w:w="9930" w:type="dxa"/>
            <w:vAlign w:val="top"/>
            <w:gridSpan w:val="3"/>
          </w:tcPr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ind w:left="585"/>
              <w:spacing w:before="78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备</w:t>
            </w:r>
            <w:r>
              <w:rPr>
                <w:rFonts w:ascii="SimSun" w:hAnsi="SimSun" w:eastAsia="SimSun" w:cs="SimSun"/>
                <w:sz w:val="24"/>
                <w:szCs w:val="24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注</w:t>
            </w:r>
            <w:r>
              <w:rPr>
                <w:rFonts w:ascii="SimSun" w:hAnsi="SimSun" w:eastAsia="SimSun" w:cs="SimSun"/>
                <w:sz w:val="24"/>
                <w:szCs w:val="24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：</w:t>
            </w:r>
          </w:p>
        </w:tc>
      </w:tr>
    </w:tbl>
    <w:p>
      <w:pPr>
        <w:spacing w:line="266" w:lineRule="auto"/>
        <w:rPr>
          <w:rFonts w:ascii="Arial"/>
          <w:sz w:val="21"/>
        </w:rPr>
      </w:pPr>
      <w:r/>
    </w:p>
    <w:p>
      <w:pPr>
        <w:ind w:left="175"/>
        <w:spacing w:before="78" w:line="23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签约时间：2022年8月12日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      </w:t>
      </w:r>
      <w:r>
        <w:rPr>
          <w:rFonts w:ascii="SimSun" w:hAnsi="SimSun" w:eastAsia="SimSun" w:cs="SimSun"/>
          <w:sz w:val="24"/>
          <w:szCs w:val="24"/>
          <w:spacing w:val="14"/>
        </w:rPr>
        <w:t>签约地点：重庆交通大学南岸校区</w:t>
      </w:r>
    </w:p>
    <w:sectPr>
      <w:footerReference w:type="default" r:id="rId5"/>
      <w:pgSz w:w="11900" w:h="16920"/>
      <w:pgMar w:top="794" w:right="964" w:bottom="1315" w:left="994" w:header="0" w:footer="116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625"/>
      <w:spacing w:line="183" w:lineRule="auto"/>
      <w:rPr>
        <w:rFonts w:ascii="SimSun" w:hAnsi="SimSun" w:eastAsia="SimSun" w:cs="SimSun"/>
        <w:sz w:val="8"/>
        <w:szCs w:val="8"/>
      </w:rPr>
    </w:pPr>
    <w:r>
      <w:rPr>
        <w:rFonts w:ascii="SimSun" w:hAnsi="SimSun" w:eastAsia="SimSun" w:cs="SimSun"/>
        <w:sz w:val="8"/>
        <w:szCs w:val="8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90"/>
      <w:spacing w:line="183" w:lineRule="auto"/>
      <w:jc w:val="right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89"/>
      <w:spacing w:line="183" w:lineRule="auto"/>
      <w:jc w:val="right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</w:rPr>
      <w:t>3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4" Type="http://schemas.openxmlformats.org/officeDocument/2006/relationships/fontTable" Target="fontTable.xml"/><Relationship Id="rId13" Type="http://schemas.openxmlformats.org/officeDocument/2006/relationships/styles" Target="styles.xml"/><Relationship Id="rId12" Type="http://schemas.openxmlformats.org/officeDocument/2006/relationships/settings" Target="settings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2023-04-22T23:07:27Z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2023-04-22T23:07:28</vt:filetime>
  </property>
  <property fmtid="{D5CDD505-2E9C-101B-9397-08002B2CF9AE}" pid="4" name="UsrData">
    <vt:lpwstr>6443f8260d38b70015e17fed</vt:lpwstr>
  </property>
</Properties>
</file>