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841"/>
        <w:spacing w:before="90" w:line="222" w:lineRule="auto"/>
        <w:rPr>
          <w:rFonts w:ascii="SimHei" w:hAnsi="SimHei" w:eastAsia="SimHei" w:cs="SimHei"/>
          <w:sz w:val="44"/>
          <w:szCs w:val="44"/>
        </w:rPr>
      </w:pPr>
      <w:r>
        <w:rPr>
          <w:rFonts w:ascii="SimHei" w:hAnsi="SimHei" w:eastAsia="SimHei" w:cs="SimHei"/>
          <w:sz w:val="44"/>
          <w:szCs w:val="44"/>
          <w:b/>
          <w:bCs/>
          <w:spacing w:val="-7"/>
        </w:rPr>
        <w:t>重庆市政府采购购销合同</w:t>
      </w:r>
    </w:p>
    <w:p>
      <w:pPr>
        <w:ind w:left="3609"/>
        <w:spacing w:before="88" w:line="220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0"/>
        </w:rPr>
        <w:t>(项目号：CKX22A00551)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365"/>
        <w:spacing w:before="8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甲方(需方):</w:t>
      </w:r>
      <w:r>
        <w:rPr>
          <w:rFonts w:ascii="SimSun" w:hAnsi="SimSun" w:eastAsia="SimSun" w:cs="SimSun"/>
          <w:sz w:val="25"/>
          <w:szCs w:val="25"/>
          <w:spacing w:val="-20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-7"/>
        </w:rPr>
        <w:t>城口县葛城街道办事处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                </w:t>
      </w:r>
      <w:r>
        <w:rPr>
          <w:rFonts w:ascii="SimSun" w:hAnsi="SimSun" w:eastAsia="SimSun" w:cs="SimSun"/>
          <w:sz w:val="25"/>
          <w:szCs w:val="25"/>
          <w:spacing w:val="-7"/>
        </w:rPr>
        <w:t>计价单位：</w:t>
      </w:r>
      <w:r>
        <w:rPr>
          <w:rFonts w:ascii="SimSun" w:hAnsi="SimSun" w:eastAsia="SimSun" w:cs="SimSun"/>
          <w:sz w:val="25"/>
          <w:szCs w:val="25"/>
          <w:spacing w:val="-15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-7"/>
        </w:rPr>
        <w:t>元</w:t>
      </w:r>
    </w:p>
    <w:p>
      <w:pPr>
        <w:ind w:left="365"/>
        <w:spacing w:before="1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乙方(供方):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-10"/>
        </w:rPr>
        <w:t>重庆路净机械设备有限公司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              </w:t>
      </w:r>
      <w:r>
        <w:rPr>
          <w:rFonts w:ascii="SimSun" w:hAnsi="SimSun" w:eastAsia="SimSun" w:cs="SimSun"/>
          <w:sz w:val="25"/>
          <w:szCs w:val="25"/>
          <w:spacing w:val="-10"/>
        </w:rPr>
        <w:t>计量单位：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u w:val="single" w:color="auto"/>
          <w:spacing w:val="-116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-10"/>
        </w:rPr>
        <w:t>个</w:t>
      </w:r>
    </w:p>
    <w:p>
      <w:pPr>
        <w:ind w:left="365"/>
        <w:spacing w:before="155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经双方协商一致，达成以下购销合同：</w:t>
      </w:r>
    </w:p>
    <w:p>
      <w:pPr>
        <w:spacing w:line="66" w:lineRule="exact"/>
        <w:rPr/>
      </w:pPr>
      <w:r/>
    </w:p>
    <w:tbl>
      <w:tblPr>
        <w:tblStyle w:val="2"/>
        <w:tblW w:w="1007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833"/>
        <w:gridCol w:w="1259"/>
        <w:gridCol w:w="1209"/>
        <w:gridCol w:w="1139"/>
        <w:gridCol w:w="2018"/>
        <w:gridCol w:w="1159"/>
        <w:gridCol w:w="1453"/>
      </w:tblGrid>
      <w:tr>
        <w:trPr>
          <w:trHeight w:val="934" w:hRule="atLeast"/>
        </w:trPr>
        <w:tc>
          <w:tcPr>
            <w:tcW w:w="1833" w:type="dxa"/>
            <w:vAlign w:val="top"/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425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商品名称</w:t>
            </w:r>
          </w:p>
        </w:tc>
        <w:tc>
          <w:tcPr>
            <w:tcW w:w="1259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142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规格型号</w:t>
            </w:r>
          </w:p>
        </w:tc>
        <w:tc>
          <w:tcPr>
            <w:tcW w:w="1209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353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数量</w:t>
            </w:r>
          </w:p>
        </w:tc>
        <w:tc>
          <w:tcPr>
            <w:tcW w:w="1139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324"/>
              <w:spacing w:before="78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单价</w:t>
            </w:r>
          </w:p>
        </w:tc>
        <w:tc>
          <w:tcPr>
            <w:tcW w:w="2018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764"/>
              <w:spacing w:before="78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总价</w:t>
            </w:r>
          </w:p>
        </w:tc>
        <w:tc>
          <w:tcPr>
            <w:tcW w:w="1159" w:type="dxa"/>
            <w:vAlign w:val="top"/>
          </w:tcPr>
          <w:p>
            <w:pPr>
              <w:ind w:left="217"/>
              <w:spacing w:before="113" w:line="445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  <w:position w:val="15"/>
              </w:rPr>
              <w:t>交货时</w:t>
            </w:r>
          </w:p>
          <w:p>
            <w:pPr>
              <w:ind w:left="457"/>
              <w:spacing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间</w:t>
            </w:r>
          </w:p>
        </w:tc>
        <w:tc>
          <w:tcPr>
            <w:tcW w:w="1453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388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交货地点</w:t>
            </w:r>
          </w:p>
        </w:tc>
      </w:tr>
      <w:tr>
        <w:trPr>
          <w:trHeight w:val="939" w:hRule="atLeast"/>
        </w:trPr>
        <w:tc>
          <w:tcPr>
            <w:tcW w:w="1833" w:type="dxa"/>
            <w:vAlign w:val="top"/>
          </w:tcPr>
          <w:p>
            <w:pPr>
              <w:ind w:left="425"/>
              <w:spacing w:before="4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240L挂车</w:t>
            </w:r>
          </w:p>
          <w:p>
            <w:pPr>
              <w:ind w:left="545"/>
              <w:spacing w:before="18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垃圾桶</w:t>
            </w:r>
          </w:p>
        </w:tc>
        <w:tc>
          <w:tcPr>
            <w:tcW w:w="1259" w:type="dxa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142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LJJX240L</w:t>
            </w:r>
          </w:p>
        </w:tc>
        <w:tc>
          <w:tcPr>
            <w:tcW w:w="1209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412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500</w:t>
            </w:r>
          </w:p>
        </w:tc>
        <w:tc>
          <w:tcPr>
            <w:tcW w:w="1139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204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256.00</w:t>
            </w:r>
          </w:p>
        </w:tc>
        <w:tc>
          <w:tcPr>
            <w:tcW w:w="2018" w:type="dxa"/>
            <w:vAlign w:val="top"/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ind w:left="465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128000.00</w:t>
            </w:r>
          </w:p>
        </w:tc>
        <w:tc>
          <w:tcPr>
            <w:tcW w:w="115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217" w:right="168"/>
              <w:spacing w:before="78" w:line="363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采购合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同签订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后15个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4"/>
              </w:rPr>
              <w:t>日历日</w:t>
            </w:r>
          </w:p>
          <w:p>
            <w:pPr>
              <w:ind w:left="217"/>
              <w:spacing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内交货</w:t>
            </w:r>
          </w:p>
        </w:tc>
        <w:tc>
          <w:tcPr>
            <w:tcW w:w="1453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48"/>
              <w:spacing w:before="78" w:line="481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  <w:position w:val="18"/>
              </w:rPr>
              <w:t>城口县葛城</w:t>
            </w:r>
          </w:p>
          <w:p>
            <w:pPr>
              <w:ind w:left="148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街道办事处</w:t>
            </w:r>
          </w:p>
        </w:tc>
      </w:tr>
      <w:tr>
        <w:trPr>
          <w:trHeight w:val="470" w:hRule="atLeast"/>
        </w:trPr>
        <w:tc>
          <w:tcPr>
            <w:tcW w:w="1833" w:type="dxa"/>
            <w:vAlign w:val="top"/>
          </w:tcPr>
          <w:p>
            <w:pPr>
              <w:ind w:left="305"/>
              <w:spacing w:before="122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分类垃圾袋</w:t>
            </w:r>
          </w:p>
        </w:tc>
        <w:tc>
          <w:tcPr>
            <w:tcW w:w="1259" w:type="dxa"/>
            <w:vAlign w:val="top"/>
          </w:tcPr>
          <w:p>
            <w:pPr>
              <w:ind w:left="321"/>
              <w:spacing w:before="156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LJD01</w:t>
            </w:r>
          </w:p>
        </w:tc>
        <w:tc>
          <w:tcPr>
            <w:tcW w:w="1209" w:type="dxa"/>
            <w:vAlign w:val="top"/>
          </w:tcPr>
          <w:p>
            <w:pPr>
              <w:ind w:left="233"/>
              <w:spacing w:before="183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503330</w:t>
            </w:r>
          </w:p>
        </w:tc>
        <w:tc>
          <w:tcPr>
            <w:tcW w:w="1139" w:type="dxa"/>
            <w:vAlign w:val="top"/>
          </w:tcPr>
          <w:p>
            <w:pPr>
              <w:ind w:left="324"/>
              <w:spacing w:before="182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0.10</w:t>
            </w:r>
          </w:p>
        </w:tc>
        <w:tc>
          <w:tcPr>
            <w:tcW w:w="2018" w:type="dxa"/>
            <w:vAlign w:val="top"/>
          </w:tcPr>
          <w:p>
            <w:pPr>
              <w:ind w:left="525"/>
              <w:spacing w:before="183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50333.00</w:t>
            </w:r>
          </w:p>
        </w:tc>
        <w:tc>
          <w:tcPr>
            <w:tcW w:w="1159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3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29" w:hRule="atLeast"/>
        </w:trPr>
        <w:tc>
          <w:tcPr>
            <w:tcW w:w="1833" w:type="dxa"/>
            <w:vAlign w:val="top"/>
          </w:tcPr>
          <w:p>
            <w:pPr>
              <w:ind w:left="125"/>
              <w:spacing w:before="120" w:line="451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  <w:position w:val="15"/>
              </w:rPr>
              <w:t>4分类垃圾宣传</w:t>
            </w:r>
          </w:p>
          <w:p>
            <w:pPr>
              <w:ind w:left="665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笔筒</w:t>
            </w:r>
          </w:p>
        </w:tc>
        <w:tc>
          <w:tcPr>
            <w:tcW w:w="1259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ind w:left="382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BT04</w:t>
            </w:r>
          </w:p>
        </w:tc>
        <w:tc>
          <w:tcPr>
            <w:tcW w:w="1209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293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13000</w:t>
            </w:r>
          </w:p>
        </w:tc>
        <w:tc>
          <w:tcPr>
            <w:tcW w:w="1139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12.00</w:t>
            </w:r>
          </w:p>
        </w:tc>
        <w:tc>
          <w:tcPr>
            <w:tcW w:w="2018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465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156000.00</w:t>
            </w:r>
          </w:p>
        </w:tc>
        <w:tc>
          <w:tcPr>
            <w:tcW w:w="1159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3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9" w:hRule="atLeast"/>
        </w:trPr>
        <w:tc>
          <w:tcPr>
            <w:tcW w:w="1833" w:type="dxa"/>
            <w:vAlign w:val="top"/>
          </w:tcPr>
          <w:p>
            <w:pPr>
              <w:ind w:left="125"/>
              <w:spacing w:before="133" w:line="459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  <w:position w:val="16"/>
              </w:rPr>
              <w:t>10L入户厨房折</w:t>
            </w:r>
          </w:p>
          <w:p>
            <w:pPr>
              <w:ind w:left="425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叠垃圾桶</w:t>
            </w:r>
          </w:p>
        </w:tc>
        <w:tc>
          <w:tcPr>
            <w:tcW w:w="1259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ind w:left="442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10L</w:t>
            </w:r>
          </w:p>
        </w:tc>
        <w:tc>
          <w:tcPr>
            <w:tcW w:w="1209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ind w:left="293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13000</w:t>
            </w:r>
          </w:p>
        </w:tc>
        <w:tc>
          <w:tcPr>
            <w:tcW w:w="1139" w:type="dxa"/>
            <w:vAlign w:val="top"/>
          </w:tcPr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20.00</w:t>
            </w:r>
          </w:p>
        </w:tc>
        <w:tc>
          <w:tcPr>
            <w:tcW w:w="2018" w:type="dxa"/>
            <w:vAlign w:val="top"/>
          </w:tcPr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ind w:left="465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260000.00</w:t>
            </w:r>
          </w:p>
        </w:tc>
        <w:tc>
          <w:tcPr>
            <w:tcW w:w="1159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3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9" w:hRule="atLeast"/>
        </w:trPr>
        <w:tc>
          <w:tcPr>
            <w:tcW w:w="1833" w:type="dxa"/>
            <w:vAlign w:val="top"/>
          </w:tcPr>
          <w:p>
            <w:pPr>
              <w:ind w:left="125"/>
              <w:spacing w:before="133" w:line="43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  <w:position w:val="14"/>
              </w:rPr>
              <w:t>16L两分类垃圾</w:t>
            </w:r>
          </w:p>
          <w:p>
            <w:pPr>
              <w:ind w:left="784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桶</w:t>
            </w:r>
          </w:p>
        </w:tc>
        <w:tc>
          <w:tcPr>
            <w:tcW w:w="1259" w:type="dxa"/>
            <w:vAlign w:val="top"/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ind w:left="142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LJJX-16L</w:t>
            </w:r>
          </w:p>
        </w:tc>
        <w:tc>
          <w:tcPr>
            <w:tcW w:w="1209" w:type="dxa"/>
            <w:vAlign w:val="top"/>
          </w:tcPr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ind w:left="293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13000</w:t>
            </w:r>
          </w:p>
        </w:tc>
        <w:tc>
          <w:tcPr>
            <w:tcW w:w="1139" w:type="dxa"/>
            <w:vAlign w:val="top"/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30.00</w:t>
            </w:r>
          </w:p>
        </w:tc>
        <w:tc>
          <w:tcPr>
            <w:tcW w:w="2018" w:type="dxa"/>
            <w:vAlign w:val="top"/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465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390000.00</w:t>
            </w:r>
          </w:p>
        </w:tc>
        <w:tc>
          <w:tcPr>
            <w:tcW w:w="115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0" w:hRule="atLeast"/>
        </w:trPr>
        <w:tc>
          <w:tcPr>
            <w:tcW w:w="10070" w:type="dxa"/>
            <w:vAlign w:val="top"/>
            <w:gridSpan w:val="7"/>
          </w:tcPr>
          <w:p>
            <w:pPr>
              <w:ind w:left="105"/>
              <w:spacing w:before="12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4"/>
              </w:rPr>
              <w:t>合计人民币(小写):984333.00元</w:t>
            </w:r>
          </w:p>
        </w:tc>
      </w:tr>
      <w:tr>
        <w:trPr>
          <w:trHeight w:val="470" w:hRule="atLeast"/>
        </w:trPr>
        <w:tc>
          <w:tcPr>
            <w:tcW w:w="10070" w:type="dxa"/>
            <w:vAlign w:val="top"/>
            <w:gridSpan w:val="7"/>
          </w:tcPr>
          <w:p>
            <w:pPr>
              <w:ind w:left="105"/>
              <w:spacing w:before="12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合计人民币(大写):玖拾捌万肆仟叁佰叁拾叁元整</w:t>
            </w:r>
          </w:p>
        </w:tc>
      </w:tr>
      <w:tr>
        <w:trPr>
          <w:trHeight w:val="5140" w:hRule="atLeast"/>
        </w:trPr>
        <w:tc>
          <w:tcPr>
            <w:tcW w:w="10070" w:type="dxa"/>
            <w:vAlign w:val="top"/>
            <w:gridSpan w:val="7"/>
          </w:tcPr>
          <w:p>
            <w:pPr>
              <w:ind w:left="105" w:right="75"/>
              <w:spacing w:before="144" w:line="27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一、质量要求和技术标准。供方提供的商品必须是全新的，完全符合国家有关技术标准，</w:t>
            </w:r>
            <w:r>
              <w:rPr>
                <w:rFonts w:ascii="SimSun" w:hAnsi="SimSun" w:eastAsia="SimSun" w:cs="SimSun"/>
                <w:sz w:val="24"/>
                <w:szCs w:val="24"/>
              </w:rPr>
              <w:t>供方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的质量保证及售后服务承诺如下：</w:t>
            </w:r>
          </w:p>
          <w:p>
            <w:pPr>
              <w:ind w:left="105"/>
              <w:spacing w:before="22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1.质保期限：自验收合格之日起，提供一年的免费质保期。</w:t>
            </w:r>
          </w:p>
          <w:p>
            <w:pPr>
              <w:ind w:left="105"/>
              <w:spacing w:before="14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4391068</wp:posOffset>
                  </wp:positionH>
                  <wp:positionV relativeFrom="paragraph">
                    <wp:posOffset>-1049514</wp:posOffset>
                  </wp:positionV>
                  <wp:extent cx="1562106" cy="1568507"/>
                  <wp:effectExtent l="0" t="0" r="0" b="0"/>
                  <wp:wrapNone/>
                  <wp:docPr id="1" name="IM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" name="IM 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62106" cy="15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2.保修范围：在正常使用情况下(非人为、自然等因素)质保期内需要更换的设备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配件由乙方</w:t>
            </w:r>
          </w:p>
          <w:p>
            <w:pPr>
              <w:ind w:left="105"/>
              <w:spacing w:before="19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3"/>
              </w:rPr>
              <w:t>负</w:t>
            </w: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3"/>
              </w:rPr>
              <w:t>责</w:t>
            </w:r>
            <w:r>
              <w:rPr>
                <w:rFonts w:ascii="SimSun" w:hAnsi="SimSun" w:eastAsia="SimSun" w:cs="SimSun"/>
                <w:sz w:val="24"/>
                <w:szCs w:val="24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3"/>
              </w:rPr>
              <w:t>。</w:t>
            </w:r>
          </w:p>
          <w:p>
            <w:pPr>
              <w:ind w:left="105"/>
              <w:spacing w:before="181" w:line="474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  <w:position w:val="17"/>
              </w:rPr>
              <w:t>3.服务措施：(1)电话咨询，为用户提供技术援助电话400-0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  <w:position w:val="17"/>
              </w:rPr>
              <w:t>230626,解答用户在使用中遇到的</w:t>
            </w:r>
          </w:p>
          <w:p>
            <w:pPr>
              <w:ind w:left="105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问题，及时为用户提出解决问题的建议。</w:t>
            </w:r>
          </w:p>
          <w:p>
            <w:pPr>
              <w:ind w:left="105" w:right="175"/>
              <w:spacing w:before="174" w:line="29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(2)现场响应，用户遇到使用及技术问题，电话咨询不能解决的，乙方应在12小时内采取相</w:t>
            </w: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应响应措施；无法在24小时内解决的，应在48小时内派出专</w:t>
            </w: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业人员进行技术支持。</w:t>
            </w:r>
          </w:p>
          <w:p>
            <w:pPr>
              <w:ind w:left="105" w:right="64" w:firstLine="139"/>
              <w:spacing w:before="195" w:line="28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(3)技术升级，在质保期内，如果成乙方的产品技术升级，乙方应</w:t>
            </w:r>
            <w:r>
              <w:rPr>
                <w:rFonts w:ascii="SimSun" w:hAnsi="SimSun" w:eastAsia="SimSun" w:cs="SimSun"/>
                <w:sz w:val="24"/>
                <w:szCs w:val="24"/>
              </w:rPr>
              <w:t>及时通知采购人，如采购人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有相应要求，乙方应对采购人进行升级服务。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10" w:h="16840"/>
          <w:pgMar w:top="971" w:right="1135" w:bottom="0" w:left="694" w:header="0" w:footer="0" w:gutter="0"/>
        </w:sectPr>
        <w:rPr/>
      </w:pPr>
    </w:p>
    <w:tbl>
      <w:tblPr>
        <w:tblStyle w:val="2"/>
        <w:tblW w:w="1008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460"/>
        <w:gridCol w:w="4620"/>
      </w:tblGrid>
      <w:tr>
        <w:trPr>
          <w:trHeight w:val="934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90" w:line="482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drawing>
                <wp:anchor distT="0" distB="0" distL="0" distR="0" simplePos="0" relativeHeight="251660288" behindDoc="0" locked="0" layoutInCell="0" allowOverlap="1">
                  <wp:simplePos x="0" y="0"/>
                  <wp:positionH relativeFrom="page">
                    <wp:posOffset>1377971</wp:posOffset>
                  </wp:positionH>
                  <wp:positionV relativeFrom="page">
                    <wp:posOffset>9499648</wp:posOffset>
                  </wp:positionV>
                  <wp:extent cx="1276326" cy="482585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6326" cy="48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9"/>
              </w:rPr>
              <w:t>4.质保期后服务：质量保证期过后，乙方提供免费电话咨询服务400-0230626,并提供产品上门</w:t>
            </w:r>
          </w:p>
          <w:p>
            <w:pPr>
              <w:ind w:left="94"/>
              <w:spacing w:before="1" w:line="21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维护服务。采购人需要继续由乙方提供售后服务的，乙方以优惠价格提供售后服务.</w:t>
            </w:r>
          </w:p>
        </w:tc>
      </w:tr>
      <w:tr>
        <w:trPr>
          <w:trHeight w:val="470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19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二、随机备品、附件、工具数量及供应方法：无</w:t>
            </w:r>
          </w:p>
        </w:tc>
      </w:tr>
      <w:tr>
        <w:trPr>
          <w:trHeight w:val="470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1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三、交提货方式：双方签订合同后15个日历日内乙方运送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货物到甲方指定地点并完成交货。</w:t>
            </w:r>
          </w:p>
        </w:tc>
      </w:tr>
      <w:tr>
        <w:trPr>
          <w:trHeight w:val="1409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00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四、验收标准、方法：</w:t>
            </w:r>
          </w:p>
          <w:p>
            <w:pPr>
              <w:ind w:left="94"/>
              <w:spacing w:before="206" w:line="46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  <w:position w:val="17"/>
              </w:rPr>
              <w:t>货物送到后进行验收，如有异议，请于3日内提出。需方在完成交货后3日内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  <w:position w:val="17"/>
              </w:rPr>
              <w:t>仍未验收的，视</w:t>
            </w:r>
          </w:p>
          <w:p>
            <w:pPr>
              <w:ind w:left="94"/>
              <w:spacing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为验收合格。</w:t>
            </w:r>
          </w:p>
        </w:tc>
      </w:tr>
      <w:tr>
        <w:trPr>
          <w:trHeight w:val="470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22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五、履约保证金：无。</w:t>
            </w:r>
          </w:p>
        </w:tc>
      </w:tr>
      <w:tr>
        <w:trPr>
          <w:trHeight w:val="2818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11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六、付款方式：</w:t>
            </w:r>
          </w:p>
          <w:p>
            <w:pPr>
              <w:ind w:left="215"/>
              <w:spacing w:before="184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(1)乙方按采购合同交货并安装调试完成，经验收合格后采购人出具项目验收报告：</w:t>
            </w:r>
          </w:p>
          <w:p>
            <w:pPr>
              <w:ind w:left="225"/>
              <w:spacing w:before="198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(2)乙方向采购人开具发票，提交采购合同、验收报告等材料，向采购人申请付款；</w:t>
            </w:r>
          </w:p>
          <w:p>
            <w:pPr>
              <w:ind w:left="94" w:right="135" w:firstLine="130"/>
              <w:spacing w:before="191" w:line="3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(3)产品经验收合格，乙方开具国家正式发票前，需先将合同总金额的5%作为质保金打入甲方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指定账户，再由甲方一次性付清合同总金额的100%货款；质保期满无质量或其他问题，由甲方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一次性无息退回质保金。</w:t>
            </w:r>
          </w:p>
        </w:tc>
      </w:tr>
      <w:tr>
        <w:trPr>
          <w:trHeight w:val="939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03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七、违约责任：</w:t>
            </w:r>
          </w:p>
          <w:p>
            <w:pPr>
              <w:ind w:left="94"/>
              <w:spacing w:before="19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按《中华人民共和国民法典》、《中华人民共和国政府采购法》执行，或按双方约定。</w:t>
            </w:r>
          </w:p>
        </w:tc>
      </w:tr>
      <w:tr>
        <w:trPr>
          <w:trHeight w:val="2328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45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八、其他约定事项：</w:t>
            </w:r>
          </w:p>
          <w:p>
            <w:pPr>
              <w:ind w:left="94"/>
              <w:spacing w:before="153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1.询价通知书及其澄清文件、响应文件和承诺是本合同不可分割的部分。</w:t>
            </w:r>
          </w:p>
          <w:p>
            <w:pPr>
              <w:ind w:left="94"/>
              <w:spacing w:before="199" w:line="47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  <w:position w:val="18"/>
              </w:rPr>
              <w:t>2.本合同如发生争议由双方协商解决，协商不成向需方所在地仲裁机构提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  <w:position w:val="18"/>
              </w:rPr>
              <w:t>请仲裁。</w:t>
            </w:r>
          </w:p>
          <w:p>
            <w:pPr>
              <w:ind w:left="94"/>
              <w:spacing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3</w:t>
            </w:r>
            <w:r>
              <w:rPr>
                <w:rFonts w:ascii="SimSun" w:hAnsi="SimSun" w:eastAsia="SimSun" w:cs="SimSun"/>
                <w:sz w:val="23"/>
                <w:szCs w:val="23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.</w:t>
            </w:r>
            <w:r>
              <w:rPr>
                <w:rFonts w:ascii="SimSun" w:hAnsi="SimSun" w:eastAsia="SimSun" w:cs="SimSun"/>
                <w:sz w:val="23"/>
                <w:szCs w:val="23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本合同</w:t>
            </w:r>
            <w:r>
              <w:rPr>
                <w:rFonts w:ascii="SimSun" w:hAnsi="SimSun" w:eastAsia="SimSun" w:cs="SimSun"/>
                <w:sz w:val="23"/>
                <w:szCs w:val="23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式4份，需方2份，供方2份，具同等法律效力。</w:t>
            </w:r>
          </w:p>
          <w:p>
            <w:pPr>
              <w:ind w:left="94"/>
              <w:spacing w:before="20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4.其他未尽事宜由供需双方协商解决。</w:t>
            </w:r>
          </w:p>
        </w:tc>
      </w:tr>
      <w:tr>
        <w:trPr>
          <w:trHeight w:val="3278" w:hRule="atLeast"/>
        </w:trPr>
        <w:tc>
          <w:tcPr>
            <w:tcW w:w="5460" w:type="dxa"/>
            <w:vAlign w:val="top"/>
          </w:tcPr>
          <w:p>
            <w:pPr>
              <w:ind w:left="94"/>
              <w:spacing w:before="104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需方；城口县葛城街道办事处</w:t>
            </w:r>
          </w:p>
          <w:p>
            <w:pPr>
              <w:ind w:left="94"/>
              <w:spacing w:before="19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43643</wp:posOffset>
                  </wp:positionV>
                  <wp:extent cx="1492284" cy="1492235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92284" cy="149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地址；城口县葛城街道广场路9号街道办事处</w:t>
            </w:r>
          </w:p>
          <w:p>
            <w:pPr>
              <w:ind w:left="94"/>
              <w:spacing w:before="191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联系电话：18223670520</w:t>
            </w:r>
          </w:p>
          <w:p>
            <w:pPr>
              <w:ind w:left="94"/>
              <w:spacing w:before="72"/>
              <w:rPr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授权代表：</w:t>
            </w:r>
            <w:r>
              <w:rPr>
                <w:rFonts w:ascii="SimSun" w:hAnsi="SimSun" w:eastAsia="SimSun" w:cs="SimSun"/>
                <w:sz w:val="23"/>
                <w:szCs w:val="23"/>
                <w:spacing w:val="-91"/>
              </w:rPr>
              <w:t xml:space="preserve"> </w:t>
            </w:r>
            <w:r>
              <w:rPr>
                <w:sz w:val="23"/>
                <w:szCs w:val="23"/>
                <w:position w:val="-42"/>
              </w:rPr>
              <w:drawing>
                <wp:inline distT="0" distB="0" distL="0" distR="0">
                  <wp:extent cx="1269954" cy="476231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69954" cy="47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vAlign w:val="top"/>
          </w:tcPr>
          <w:p>
            <w:pPr>
              <w:ind w:left="104"/>
              <w:spacing w:before="94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784247</wp:posOffset>
                  </wp:positionH>
                  <wp:positionV relativeFrom="paragraph">
                    <wp:posOffset>137410</wp:posOffset>
                  </wp:positionV>
                  <wp:extent cx="1517618" cy="1530360"/>
                  <wp:effectExtent l="0" t="0" r="0" b="0"/>
                  <wp:wrapNone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7618" cy="153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供方；重庆路净机械设备有限公司</w:t>
            </w:r>
          </w:p>
          <w:p>
            <w:pPr>
              <w:ind w:left="104"/>
              <w:spacing w:before="19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地址：建新北路三支路69号</w:t>
            </w:r>
          </w:p>
          <w:p>
            <w:pPr>
              <w:ind w:left="104"/>
              <w:spacing w:before="220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电话：13372716946</w:t>
            </w: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/</w:t>
            </w: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400-0230626</w:t>
            </w:r>
          </w:p>
          <w:p>
            <w:pPr>
              <w:ind w:left="104"/>
              <w:spacing w:before="172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开户银行；中国建设银行重庆观音桥支行营</w:t>
            </w:r>
          </w:p>
          <w:p>
            <w:pPr>
              <w:ind w:left="104"/>
              <w:spacing w:before="21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业部</w:t>
            </w:r>
          </w:p>
          <w:p>
            <w:pPr>
              <w:ind w:left="104"/>
              <w:spacing w:before="198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账号：50001063600050220212</w:t>
            </w:r>
          </w:p>
          <w:p>
            <w:pPr>
              <w:ind w:left="104"/>
              <w:spacing w:before="164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授权代表：</w:t>
            </w:r>
          </w:p>
        </w:tc>
      </w:tr>
      <w:tr>
        <w:trPr>
          <w:trHeight w:val="604" w:hRule="atLeast"/>
        </w:trPr>
        <w:tc>
          <w:tcPr>
            <w:tcW w:w="10080" w:type="dxa"/>
            <w:vAlign w:val="top"/>
            <w:gridSpan w:val="2"/>
          </w:tcPr>
          <w:p>
            <w:pPr>
              <w:ind w:left="94"/>
              <w:spacing w:before="196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备注；赠送20个240L垃圾桶轮了；20个4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分类垃圾宣传笔筒。</w:t>
            </w:r>
          </w:p>
        </w:tc>
      </w:tr>
    </w:tbl>
    <w:p>
      <w:pPr>
        <w:ind w:left="5765"/>
        <w:spacing w:before="104" w:line="219" w:lineRule="auto"/>
        <w:rPr>
          <w:rFonts w:ascii="SimSun" w:hAnsi="SimSun" w:eastAsia="SimSun" w:cs="SimSun"/>
          <w:sz w:val="24"/>
          <w:szCs w:val="24"/>
        </w:rPr>
      </w:pPr>
      <w:r>
        <w:pict>
          <v:shape id="_x0000_s1" style="position:absolute;margin-left:19.7486pt;margin-top:4.3897pt;mso-position-vertical-relative:text;mso-position-horizontal-relative:text;width:56.05pt;height:16.4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1" w:lineRule="auto"/>
                    <w:rPr>
                      <w:rFonts w:ascii="SimSun" w:hAnsi="SimSun" w:eastAsia="SimSun" w:cs="SimSun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24"/>
                    </w:rPr>
                    <w:t>签约时间：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4"/>
          <w:szCs w:val="24"/>
          <w:spacing w:val="-1"/>
        </w:rPr>
        <w:t>签约地点：重庆市城口县</w:t>
      </w:r>
    </w:p>
    <w:sectPr>
      <w:pgSz w:w="12090" w:h="16960"/>
      <w:pgMar w:top="1135" w:right="1244" w:bottom="0" w:left="75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2023-04-22T23:10:20Z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2023-04-22T23:10:21</vt:filetime>
  </property>
  <property fmtid="{D5CDD505-2E9C-101B-9397-08002B2CF9AE}" pid="4" name="UsrData">
    <vt:lpwstr>6443f8d20d38b70015e181af</vt:lpwstr>
  </property>
</Properties>
</file>