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7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5"/>
        </w:rPr>
        <w:t>梁平区2022年废弃农膜回收利用协议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甲方：重庆市梁平区供销合作社联合社(以下简称甲方)</w:t>
      </w:r>
    </w:p>
    <w:p>
      <w:pPr>
        <w:spacing w:before="190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乙方：重庆市新梁再生资源回收有限责任公司(以下简称乙方)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449"/>
        <w:spacing w:before="6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根据《重庆市供销合作总社关于印发2022年重庆市废弃农膜</w:t>
      </w:r>
    </w:p>
    <w:p>
      <w:pPr>
        <w:spacing w:before="159" w:line="220" w:lineRule="auto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3676656</wp:posOffset>
            </wp:positionH>
            <wp:positionV relativeFrom="paragraph">
              <wp:posOffset>187519</wp:posOffset>
            </wp:positionV>
            <wp:extent cx="698479" cy="100964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79" cy="100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10"/>
        </w:rPr>
        <w:t>回收利用工作要点的通知》(渝供发〔2022〕1号)和《重</w:t>
      </w:r>
      <w:r>
        <w:rPr>
          <w:rFonts w:ascii="FangSong" w:hAnsi="FangSong" w:eastAsia="FangSong" w:cs="FangSong"/>
          <w:sz w:val="21"/>
          <w:szCs w:val="21"/>
          <w:spacing w:val="9"/>
        </w:rPr>
        <w:t>庆市供</w:t>
      </w:r>
    </w:p>
    <w:p>
      <w:pPr>
        <w:spacing w:before="15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销合作总社关于提前下达2022年度废弃农膜回收利用目标任务的</w:t>
      </w:r>
    </w:p>
    <w:p>
      <w:pPr>
        <w:spacing w:before="16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通知》(渝供发〔2021〕31号)精神，通过2022年5月23日梁平</w:t>
      </w:r>
    </w:p>
    <w:p>
      <w:pPr>
        <w:spacing w:before="157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区财政局批准的单…来源采购方式，按照法定程序和有关规</w:t>
      </w:r>
      <w:r>
        <w:rPr>
          <w:rFonts w:ascii="FangSong" w:hAnsi="FangSong" w:eastAsia="FangSong" w:cs="FangSong"/>
          <w:sz w:val="21"/>
          <w:szCs w:val="21"/>
          <w:spacing w:val="-2"/>
        </w:rPr>
        <w:t>定，确</w:t>
      </w:r>
    </w:p>
    <w:p>
      <w:pPr>
        <w:spacing w:before="16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定重庆市新梁再生资源回收有限责任公司为梁平区202</w:t>
      </w:r>
      <w:r>
        <w:rPr>
          <w:rFonts w:ascii="FangSong" w:hAnsi="FangSong" w:eastAsia="FangSong" w:cs="FangSong"/>
          <w:sz w:val="21"/>
          <w:szCs w:val="21"/>
          <w:spacing w:val="6"/>
        </w:rPr>
        <w:t>2年废弃农</w:t>
      </w:r>
    </w:p>
    <w:p>
      <w:pPr>
        <w:ind w:right="753"/>
        <w:spacing w:before="154" w:line="36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膜回收利用企业。为确保废弃农膜回收1075吨</w:t>
      </w:r>
      <w:r>
        <w:rPr>
          <w:rFonts w:ascii="FangSong" w:hAnsi="FangSong" w:eastAsia="FangSong" w:cs="FangSong"/>
          <w:sz w:val="21"/>
          <w:szCs w:val="21"/>
          <w:spacing w:val="6"/>
        </w:rPr>
        <w:t>、肥料包装物回收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120吨，废弃农膜以及肥料包装物的加工1450吨(以三方机构验收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数量据实核算，包合区外委托加工数量),在涉农行政村(社区)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建设废弃农膜回收网点70个的目标任务和验收工作在2022年11</w:t>
      </w:r>
    </w:p>
    <w:p>
      <w:pPr>
        <w:spacing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月30日前完成。经甲乙双方协商，特订立比协议。</w:t>
      </w:r>
    </w:p>
    <w:p>
      <w:pPr>
        <w:ind w:right="792" w:firstLine="203"/>
        <w:spacing w:before="288" w:line="3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一</w:t>
      </w:r>
      <w:r>
        <w:rPr>
          <w:rFonts w:ascii="FangSong" w:hAnsi="FangSong" w:eastAsia="FangSong" w:cs="FangSong"/>
          <w:sz w:val="21"/>
          <w:szCs w:val="21"/>
          <w:spacing w:val="-56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、明确2022年废弃农膜回收利用任务。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乙方承担本区域范</w:t>
      </w:r>
      <w:r>
        <w:rPr>
          <w:rFonts w:ascii="FangSong" w:hAnsi="FangSong" w:eastAsia="FangSong" w:cs="FangSong"/>
          <w:sz w:val="21"/>
          <w:szCs w:val="21"/>
          <w:spacing w:val="1"/>
        </w:rPr>
        <w:t>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内废弃农膜回收1075吨，肥料包装物回收120吨，回收率达到87%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以上，废弃农膜以及肥料包装物的加工1450吨(以三方机构验收</w:t>
      </w:r>
    </w:p>
    <w:p>
      <w:pPr>
        <w:spacing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数量据实核算，包含区外委托加工数量),新建村级回收</w:t>
      </w:r>
      <w:r>
        <w:rPr>
          <w:rFonts w:ascii="FangSong" w:hAnsi="FangSong" w:eastAsia="FangSong" w:cs="FangSong"/>
          <w:sz w:val="21"/>
          <w:szCs w:val="21"/>
          <w:spacing w:val="14"/>
        </w:rPr>
        <w:t>网点70</w:t>
      </w:r>
    </w:p>
    <w:p>
      <w:pPr>
        <w:sectPr>
          <w:footerReference w:type="default" r:id="rId1"/>
          <w:pgSz w:w="8160" w:h="11220"/>
          <w:pgMar w:top="953" w:right="219" w:bottom="978" w:left="1050" w:header="0" w:footer="769" w:gutter="0"/>
        </w:sectPr>
        <w:rPr/>
      </w:pPr>
    </w:p>
    <w:p>
      <w:pPr>
        <w:ind w:left="949" w:right="83"/>
        <w:spacing w:before="179" w:line="3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247628</wp:posOffset>
            </wp:positionH>
            <wp:positionV relativeFrom="page">
              <wp:posOffset>4178280</wp:posOffset>
            </wp:positionV>
            <wp:extent cx="406444" cy="95884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444" cy="95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4"/>
        </w:rPr>
        <w:t>个，实现废弃农膜回收涉农行政村(社区)回收网点覆盖率达到75%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以上。由乙方自行确定废弃农膜、肥料包装物等加工企业，完成加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工任务，加工企业的确定要严格按照《重庆市废弃农膜回收利用管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理办法(试行)》相关规定，选取具备国家认可的有资质的加工企</w:t>
      </w:r>
    </w:p>
    <w:p>
      <w:pPr>
        <w:ind w:left="949"/>
        <w:spacing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业，并督促加工企业做好档案、验收等一切资料。</w:t>
      </w:r>
    </w:p>
    <w:p>
      <w:pPr>
        <w:ind w:left="949" w:right="85" w:firstLine="213"/>
        <w:spacing w:before="197" w:line="3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二、做好废弃农膜回收和利用日常工作。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乙方要严格按照文件要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求完成废弃农膜回收利用任务和回收网络体系建设任务，做好废弃</w:t>
      </w:r>
    </w:p>
    <w:p>
      <w:pPr>
        <w:ind w:left="949"/>
        <w:spacing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农膜回收利用宣传、农膜使用量核查和农膜打</w:t>
      </w:r>
      <w:r>
        <w:rPr>
          <w:rFonts w:ascii="FangSong" w:hAnsi="FangSong" w:eastAsia="FangSong" w:cs="FangSong"/>
          <w:sz w:val="21"/>
          <w:szCs w:val="21"/>
          <w:spacing w:val="1"/>
        </w:rPr>
        <w:t>假等工作。</w:t>
      </w:r>
    </w:p>
    <w:p>
      <w:pPr>
        <w:ind w:left="1163"/>
        <w:spacing w:before="209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、验收及补助费支付。</w:t>
      </w:r>
    </w:p>
    <w:p>
      <w:pPr>
        <w:ind w:left="949" w:firstLine="400"/>
        <w:spacing w:before="197" w:line="3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-322168</wp:posOffset>
            </wp:positionV>
            <wp:extent cx="628631" cy="99695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631" cy="99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1"/>
          <w:szCs w:val="21"/>
          <w:spacing w:val="10"/>
        </w:rPr>
        <w:t>(一)乙方完成废弃农膜回收利用任务后申请验收。重庆市供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销合作总社废弃农膜回收补助标准和回收补助数量的文件已下达，</w:t>
      </w:r>
    </w:p>
    <w:p>
      <w:pPr>
        <w:ind w:left="949"/>
        <w:spacing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待第三方中介机构审计验收通过后，按招标文件报价据实结算</w:t>
      </w:r>
      <w:r>
        <w:rPr>
          <w:rFonts w:ascii="FangSong" w:hAnsi="FangSong" w:eastAsia="FangSong" w:cs="FangSong"/>
          <w:sz w:val="21"/>
          <w:szCs w:val="21"/>
          <w:spacing w:val="1"/>
        </w:rPr>
        <w:t>。</w:t>
      </w:r>
    </w:p>
    <w:p>
      <w:pPr>
        <w:ind w:right="119"/>
        <w:spacing w:before="177" w:line="220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7"/>
        </w:rPr>
        <w:t>(二)废弃农膜、肥料包装物(加工)利用必须与废弃农膜、</w:t>
      </w:r>
    </w:p>
    <w:p>
      <w:pPr>
        <w:ind w:left="949"/>
        <w:spacing w:before="17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肥料包装物的回收进度及时跟进，以防因废弃农膜、肥料包装物的</w:t>
      </w:r>
    </w:p>
    <w:p>
      <w:pPr>
        <w:ind w:left="949"/>
        <w:spacing w:before="181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堆码不当而造成二次污染。待第三方中介机构审计验收通过后，具</w:t>
      </w:r>
    </w:p>
    <w:p>
      <w:pPr>
        <w:ind w:left="949"/>
        <w:spacing w:before="17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体的加工补助资金按重庆市供销合作总社文件下达的加工补助数</w:t>
      </w:r>
    </w:p>
    <w:p>
      <w:pPr>
        <w:ind w:left="949"/>
        <w:spacing w:before="18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量、补助标准及招标文件报价据实结算。</w:t>
      </w:r>
    </w:p>
    <w:p>
      <w:pPr>
        <w:ind w:left="949" w:right="118" w:firstLine="213"/>
        <w:spacing w:before="174" w:line="3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四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、做好废弃农膜回收利用、验收资料。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乙方必须严格按</w:t>
      </w:r>
      <w:r>
        <w:rPr>
          <w:rFonts w:ascii="FangSong" w:hAnsi="FangSong" w:eastAsia="FangSong" w:cs="FangSong"/>
          <w:sz w:val="21"/>
          <w:szCs w:val="21"/>
          <w:spacing w:val="-7"/>
        </w:rPr>
        <w:t>照交易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程序，建立专账，网点回收废弃农膜经费先由乙方垫支，做好废弃</w:t>
      </w:r>
    </w:p>
    <w:p>
      <w:pPr>
        <w:ind w:left="949"/>
        <w:spacing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农膜回收利用档案、验收等一切资料。</w:t>
      </w:r>
    </w:p>
    <w:p>
      <w:pPr>
        <w:sectPr>
          <w:footerReference w:type="default" r:id="rId3"/>
          <w:pgSz w:w="8160" w:h="11220"/>
          <w:pgMar w:top="953" w:right="925" w:bottom="987" w:left="70" w:header="0" w:footer="779" w:gutter="0"/>
        </w:sectPr>
        <w:rPr/>
      </w:pPr>
    </w:p>
    <w:p>
      <w:pPr>
        <w:ind w:right="852" w:firstLine="212"/>
        <w:spacing w:before="244" w:line="4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2247881</wp:posOffset>
            </wp:positionH>
            <wp:positionV relativeFrom="paragraph">
              <wp:posOffset>134</wp:posOffset>
            </wp:positionV>
            <wp:extent cx="996991" cy="99695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91" cy="996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4698985</wp:posOffset>
            </wp:positionH>
            <wp:positionV relativeFrom="page">
              <wp:posOffset>2819386</wp:posOffset>
            </wp:positionV>
            <wp:extent cx="361986" cy="952501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86" cy="95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五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、做好废弃农膜回收期间安全。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乙方要加强废弃农膜回收利用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人员安全教育，确保废弃农膜回收利用人员安全。废弃农膜回收利</w:t>
      </w:r>
    </w:p>
    <w:p>
      <w:pPr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用期间，发生的一切事故概由乙方负责，甲方不承担任何责任。</w:t>
      </w:r>
    </w:p>
    <w:p>
      <w:pPr>
        <w:ind w:left="212"/>
        <w:spacing w:before="196" w:line="221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六、</w:t>
      </w:r>
      <w:r>
        <w:rPr>
          <w:rFonts w:ascii="SimHei" w:hAnsi="SimHei" w:eastAsia="SimHei" w:cs="SimHei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违约责任</w:t>
      </w:r>
    </w:p>
    <w:p>
      <w:pPr>
        <w:ind w:left="380"/>
        <w:spacing w:before="191" w:line="441" w:lineRule="exact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2457477</wp:posOffset>
            </wp:positionH>
            <wp:positionV relativeFrom="paragraph">
              <wp:posOffset>290178</wp:posOffset>
            </wp:positionV>
            <wp:extent cx="996939" cy="96518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39" cy="96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16"/>
          <w:position w:val="18"/>
        </w:rPr>
        <w:t>(一)乙方未履行本合同所规定的义务和责任，视为违约，甲</w:t>
      </w:r>
    </w:p>
    <w:p>
      <w:pPr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方有权解除该合同，因此而造成的一切经济损失概由乙方承担。</w:t>
      </w:r>
    </w:p>
    <w:p>
      <w:pPr>
        <w:ind w:left="380"/>
        <w:spacing w:before="200" w:line="443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  <w:position w:val="18"/>
        </w:rPr>
        <w:t>(二)因不可抗拒因素致使乙方未能履行合同，乙方不承担违</w:t>
      </w:r>
    </w:p>
    <w:p>
      <w:pPr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约责任。</w:t>
      </w:r>
    </w:p>
    <w:p>
      <w:pPr>
        <w:ind w:left="380"/>
        <w:spacing w:before="194" w:line="442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  <w:position w:val="18"/>
        </w:rPr>
        <w:t>(三)经查实乙方存在有价格、重量等欺诈行为的，甲方有权</w:t>
      </w:r>
    </w:p>
    <w:p>
      <w:pPr>
        <w:spacing w:before="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建议有关部门把乙方纳入失信企业名单。</w:t>
      </w:r>
    </w:p>
    <w:p>
      <w:pPr>
        <w:ind w:right="846" w:firstLine="380"/>
        <w:spacing w:before="198" w:line="4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(四)经查实乙方存在恶意串通各回收网点和第三方中介机构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骗取财政资金补助的，按照法律法规相关规定处罚，涉嫌犯罪的移</w:t>
      </w:r>
    </w:p>
    <w:p>
      <w:pPr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送司法机关处理。</w:t>
      </w:r>
    </w:p>
    <w:p>
      <w:pPr>
        <w:ind w:left="380"/>
        <w:spacing w:before="196" w:line="442" w:lineRule="exact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3752877</wp:posOffset>
            </wp:positionH>
            <wp:positionV relativeFrom="paragraph">
              <wp:posOffset>7986</wp:posOffset>
            </wp:positionV>
            <wp:extent cx="660394" cy="1003300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394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16"/>
          <w:position w:val="18"/>
        </w:rPr>
        <w:t>(五)甲方在履行合同时，有不作为、不担当等且造成乙方经</w:t>
      </w:r>
    </w:p>
    <w:p>
      <w:pPr>
        <w:spacing w:before="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济损失的，按照《中华人民共和国合同法》相</w:t>
      </w:r>
      <w:r>
        <w:rPr>
          <w:rFonts w:ascii="FangSong" w:hAnsi="FangSong" w:eastAsia="FangSong" w:cs="FangSong"/>
          <w:sz w:val="20"/>
          <w:szCs w:val="20"/>
          <w:spacing w:val="10"/>
        </w:rPr>
        <w:t>关规定处理。</w:t>
      </w:r>
    </w:p>
    <w:p>
      <w:pPr>
        <w:ind w:left="212"/>
        <w:spacing w:before="201" w:line="461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position w:val="19"/>
        </w:rPr>
        <w:t>七</w:t>
      </w:r>
      <w:r>
        <w:rPr>
          <w:rFonts w:ascii="FangSong" w:hAnsi="FangSong" w:eastAsia="FangSong" w:cs="FangSong"/>
          <w:sz w:val="20"/>
          <w:szCs w:val="20"/>
          <w:spacing w:val="-44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position w:val="19"/>
        </w:rPr>
        <w:t>、</w:t>
      </w:r>
      <w:r>
        <w:rPr>
          <w:rFonts w:ascii="FangSong" w:hAnsi="FangSong" w:eastAsia="FangSong" w:cs="FangSong"/>
          <w:sz w:val="20"/>
          <w:szCs w:val="20"/>
          <w:position w:val="19"/>
        </w:rPr>
        <w:t>本合同一式四份，甲方执两份，乙方及区有关部门各执一份，</w:t>
      </w:r>
    </w:p>
    <w:p>
      <w:pPr>
        <w:ind w:left="59"/>
        <w:spacing w:before="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自签字盖章之日起生效。</w:t>
      </w:r>
    </w:p>
    <w:p>
      <w:pPr>
        <w:sectPr>
          <w:footerReference w:type="default" r:id="rId6"/>
          <w:pgSz w:w="8160" w:h="11220"/>
          <w:pgMar w:top="920" w:right="169" w:bottom="970" w:left="1039" w:header="0" w:footer="771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2247881</wp:posOffset>
            </wp:positionH>
            <wp:positionV relativeFrom="page">
              <wp:posOffset>2565390</wp:posOffset>
            </wp:positionV>
            <wp:extent cx="635005" cy="35559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5" cy="355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1676403</wp:posOffset>
            </wp:positionH>
            <wp:positionV relativeFrom="page">
              <wp:posOffset>3714747</wp:posOffset>
            </wp:positionV>
            <wp:extent cx="984244" cy="285771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4" cy="28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2381256</wp:posOffset>
            </wp:positionH>
            <wp:positionV relativeFrom="page">
              <wp:posOffset>2959101</wp:posOffset>
            </wp:positionV>
            <wp:extent cx="476240" cy="20319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40" cy="20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200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2247933</wp:posOffset>
            </wp:positionH>
            <wp:positionV relativeFrom="paragraph">
              <wp:posOffset>127898</wp:posOffset>
            </wp:positionV>
            <wp:extent cx="673089" cy="47621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089" cy="4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1085856</wp:posOffset>
            </wp:positionH>
            <wp:positionV relativeFrom="paragraph">
              <wp:posOffset>-386433</wp:posOffset>
            </wp:positionV>
            <wp:extent cx="1003313" cy="99695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313" cy="996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10"/>
        </w:rPr>
        <w:t>甲方：重庆市梁平区供销合作补联合社</w:t>
      </w:r>
    </w:p>
    <w:p>
      <w:pPr>
        <w:ind w:left="1200"/>
        <w:spacing w:before="1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法定代表人(签字盖章):</w:t>
      </w:r>
    </w:p>
    <w:p>
      <w:pPr>
        <w:ind w:firstLine="3589"/>
        <w:spacing w:before="232" w:line="690" w:lineRule="exact"/>
        <w:textAlignment w:val="center"/>
        <w:rPr/>
      </w:pPr>
      <w:r>
        <w:drawing>
          <wp:inline distT="0" distB="0" distL="0" distR="0">
            <wp:extent cx="831854" cy="438098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854" cy="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20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876312</wp:posOffset>
            </wp:positionH>
            <wp:positionV relativeFrom="paragraph">
              <wp:posOffset>-337172</wp:posOffset>
            </wp:positionV>
            <wp:extent cx="984244" cy="98427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4" cy="98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8"/>
        </w:rPr>
        <w:t>乙方：重庆市新梁再生资源回收有限责任公司</w:t>
      </w:r>
    </w:p>
    <w:p>
      <w:pPr>
        <w:ind w:left="1200"/>
        <w:spacing w:before="199" w:line="2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法定代表人(签字盖章):</w:t>
      </w:r>
    </w:p>
    <w:p>
      <w:pPr>
        <w:spacing w:line="1400" w:lineRule="exact"/>
        <w:textAlignment w:val="center"/>
        <w:rPr/>
      </w:pPr>
      <w:r>
        <w:drawing>
          <wp:inline distT="0" distB="0" distL="0" distR="0">
            <wp:extent cx="292138" cy="888948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38" cy="8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0"/>
        <w:spacing w:before="12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签订日期：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firstLine="10"/>
        <w:spacing w:line="1590" w:lineRule="exact"/>
        <w:textAlignment w:val="center"/>
        <w:rPr/>
      </w:pPr>
      <w:r>
        <w:drawing>
          <wp:inline distT="0" distB="0" distL="0" distR="0">
            <wp:extent cx="571478" cy="100964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78" cy="10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1"/>
      <w:pgSz w:w="8160" w:h="11220"/>
      <w:pgMar w:top="920" w:right="1224" w:bottom="990" w:left="59" w:header="0" w:footer="79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89"/>
      <w:spacing w:line="183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6"/>
        <w:w w:val="59"/>
      </w:rPr>
      <w:t>—</w:t>
    </w:r>
    <w:r>
      <w:rPr>
        <w:rFonts w:ascii="SimSun" w:hAnsi="SimSun" w:eastAsia="SimSun" w:cs="SimSun"/>
        <w:sz w:val="21"/>
        <w:szCs w:val="21"/>
        <w:spacing w:val="-22"/>
      </w:rPr>
      <w:t>1—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183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6"/>
        <w:w w:val="61"/>
      </w:rPr>
      <w:t>—</w:t>
    </w:r>
    <w:r>
      <w:rPr>
        <w:rFonts w:ascii="SimSun" w:hAnsi="SimSun" w:eastAsia="SimSun" w:cs="SimSun"/>
        <w:sz w:val="21"/>
        <w:szCs w:val="21"/>
        <w:spacing w:val="-15"/>
        <w:w w:val="96"/>
      </w:rPr>
      <w:t>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19"/>
      <w:spacing w:line="18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6"/>
        <w:w w:val="62"/>
      </w:rPr>
      <w:t>—</w:t>
    </w:r>
    <w:r>
      <w:rPr>
        <w:rFonts w:ascii="SimSun" w:hAnsi="SimSun" w:eastAsia="SimSun" w:cs="SimSun"/>
        <w:sz w:val="20"/>
        <w:szCs w:val="20"/>
        <w:spacing w:val="-16"/>
        <w:w w:val="97"/>
      </w:rPr>
      <w:t>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before="1" w:line="18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  <w:w w:val="65"/>
      </w:rPr>
      <w:t>—</w:t>
    </w:r>
    <w:r>
      <w:rPr>
        <w:rFonts w:ascii="SimSun" w:hAnsi="SimSun" w:eastAsia="SimSun" w:cs="SimSun"/>
        <w:sz w:val="20"/>
        <w:szCs w:val="20"/>
        <w:spacing w:val="-11"/>
        <w:w w:val="95"/>
      </w:rPr>
      <w:t>4—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footer" Target="footer2.xml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6.png"/><Relationship Id="rId2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footer" Target="footer4.xml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2023-04-22T23:10:49Z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2023-04-22T23:10:49</vt:filetime>
  </property>
  <property fmtid="{D5CDD505-2E9C-101B-9397-08002B2CF9AE}" pid="4" name="UsrData">
    <vt:lpwstr>6443f8efa2d7b000156cb32e</vt:lpwstr>
  </property>
</Properties>
</file>