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BA056A" w:rsidRDefault="00322DCE">
      <w:pPr>
        <w:pStyle w:val="Heading1"/>
        <w:keepNext w:val="0"/>
        <w:keepLines w:val="0"/>
        <w:spacing w:before="480"/>
        <w:rPr>
          <w:b/>
          <w:bCs/>
          <w:sz w:val="46"/>
          <w:szCs w:val="46"/>
        </w:rPr>
      </w:pPr>
      <w:bookmarkStart w:id="0" w:name="_tvssnxjgwray" w:colFirst="0" w:colLast="0"/>
      <w:bookmarkEnd w:id="0"/>
      <w:r>
        <w:rPr>
          <w:b/>
          <w:bCs/>
          <w:sz w:val="46"/>
          <w:szCs w:val="46"/>
        </w:rPr>
        <w:t>Applied Examples (Cross-Sector Case Pack)</w:t>
      </w:r>
    </w:p>
    <w:p w14:paraId="00000002" w14:textId="246CF504" w:rsidR="00BA056A" w:rsidRDefault="00322DCE">
      <w:pPr>
        <w:spacing w:before="240" w:after="240"/>
        <w:rPr>
          <w:b/>
          <w:bCs/>
        </w:rPr>
      </w:pPr>
      <w:proofErr w:type="spellStart"/>
      <w:r>
        <w:rPr>
          <w:b/>
          <w:bCs/>
        </w:rPr>
        <w:t>CloudPedagogy</w:t>
      </w:r>
      <w:proofErr w:type="spellEnd"/>
      <w:r>
        <w:rPr>
          <w:b/>
          <w:bCs/>
        </w:rPr>
        <w:t xml:space="preserve"> AI Capability Framework (2026 Edition)</w:t>
      </w:r>
      <w:r>
        <w:rPr>
          <w:b/>
          <w:bCs/>
        </w:rPr>
        <w:br/>
        <w:t>Version: Applied Examples Resource Pack</w:t>
      </w:r>
      <w:r>
        <w:rPr>
          <w:b/>
          <w:bCs/>
        </w:rPr>
        <w:br/>
      </w:r>
      <w:proofErr w:type="spellStart"/>
      <w:r>
        <w:rPr>
          <w:b/>
          <w:bCs/>
        </w:rPr>
        <w:t>Licence</w:t>
      </w:r>
      <w:proofErr w:type="spellEnd"/>
      <w:r>
        <w:rPr>
          <w:b/>
          <w:bCs/>
        </w:rPr>
        <w:t>: CC BY-NC-SA 4.0</w:t>
      </w:r>
      <w:r>
        <w:rPr>
          <w:b/>
          <w:bCs/>
        </w:rPr>
        <w:br/>
        <w:t>Author: Jonathan Wong</w:t>
      </w:r>
    </w:p>
    <w:p w14:paraId="00000003" w14:textId="77777777" w:rsidR="00BA056A" w:rsidRDefault="00BE4A8D">
      <w:r>
        <w:rPr>
          <w:noProof/>
        </w:rPr>
        <w:pict w14:anchorId="204A9CFE">
          <v:rect id="_x0000_i1031" alt="" style="width:451.3pt;height:.05pt;mso-width-percent:0;mso-height-percent:0;mso-width-percent:0;mso-height-percent:0" o:hralign="center" o:hrstd="t" o:hr="t" fillcolor="#a0a0a0" stroked="f"/>
        </w:pict>
      </w:r>
    </w:p>
    <w:p w14:paraId="00000004" w14:textId="77777777" w:rsidR="00BA056A" w:rsidRDefault="00322DCE">
      <w:pPr>
        <w:pStyle w:val="Heading1"/>
        <w:keepNext w:val="0"/>
        <w:keepLines w:val="0"/>
        <w:spacing w:before="480"/>
        <w:rPr>
          <w:b/>
          <w:bCs/>
          <w:sz w:val="46"/>
          <w:szCs w:val="46"/>
        </w:rPr>
      </w:pPr>
      <w:bookmarkStart w:id="1" w:name="_9nt2ddkqje6a" w:colFirst="0" w:colLast="0"/>
      <w:bookmarkEnd w:id="1"/>
      <w:r>
        <w:rPr>
          <w:b/>
          <w:bCs/>
          <w:sz w:val="46"/>
          <w:szCs w:val="46"/>
        </w:rPr>
        <w:t>1. Introduction to the Case Pack</w:t>
      </w:r>
    </w:p>
    <w:p w14:paraId="00000005" w14:textId="77777777" w:rsidR="00BA056A" w:rsidRDefault="00322DCE">
      <w:pPr>
        <w:spacing w:before="240" w:after="240"/>
      </w:pPr>
      <w:r>
        <w:t>The Applied Examples Case Pack provides concrete, real-world illustrations of how the AI Capability Framework is used across different sectors.</w:t>
      </w:r>
      <w:r>
        <w:br/>
        <w:t xml:space="preserve"> Each example highlights:</w:t>
      </w:r>
    </w:p>
    <w:p w14:paraId="00000006" w14:textId="77777777" w:rsidR="00BA056A" w:rsidRDefault="00322DCE">
      <w:pPr>
        <w:numPr>
          <w:ilvl w:val="0"/>
          <w:numId w:val="1"/>
        </w:numPr>
        <w:spacing w:before="240"/>
      </w:pPr>
      <w:r>
        <w:t>the practical workflow</w:t>
      </w:r>
      <w:r>
        <w:br/>
      </w:r>
    </w:p>
    <w:p w14:paraId="00000007" w14:textId="77777777" w:rsidR="00BA056A" w:rsidRDefault="00322DCE">
      <w:pPr>
        <w:numPr>
          <w:ilvl w:val="0"/>
          <w:numId w:val="1"/>
        </w:numPr>
      </w:pPr>
      <w:r>
        <w:t>the decisions humans and AI each make</w:t>
      </w:r>
      <w:r>
        <w:br/>
      </w:r>
    </w:p>
    <w:p w14:paraId="00000008" w14:textId="77777777" w:rsidR="00BA056A" w:rsidRDefault="00322DCE">
      <w:pPr>
        <w:numPr>
          <w:ilvl w:val="0"/>
          <w:numId w:val="1"/>
        </w:numPr>
      </w:pPr>
      <w:r>
        <w:t>ethical and governance considerations</w:t>
      </w:r>
      <w:r>
        <w:br/>
      </w:r>
    </w:p>
    <w:p w14:paraId="00000009" w14:textId="77777777" w:rsidR="00BA056A" w:rsidRDefault="00322DCE">
      <w:pPr>
        <w:numPr>
          <w:ilvl w:val="0"/>
          <w:numId w:val="1"/>
        </w:numPr>
      </w:pPr>
      <w:r>
        <w:t>how multiple capability domains interact</w:t>
      </w:r>
      <w:r>
        <w:br/>
      </w:r>
    </w:p>
    <w:p w14:paraId="0000000A" w14:textId="77777777" w:rsidR="00BA056A" w:rsidRDefault="00322DCE">
      <w:pPr>
        <w:numPr>
          <w:ilvl w:val="0"/>
          <w:numId w:val="1"/>
        </w:numPr>
        <w:spacing w:after="240"/>
      </w:pPr>
      <w:r>
        <w:t>lessons learned and suggested next steps</w:t>
      </w:r>
      <w:r>
        <w:br/>
      </w:r>
    </w:p>
    <w:p w14:paraId="0000000B" w14:textId="77777777" w:rsidR="00BA056A" w:rsidRDefault="00322DCE">
      <w:pPr>
        <w:spacing w:before="240" w:after="240"/>
      </w:pPr>
      <w:r>
        <w:t>These cases are designed for:</w:t>
      </w:r>
    </w:p>
    <w:p w14:paraId="0000000C" w14:textId="77777777" w:rsidR="00BA056A" w:rsidRDefault="00322DCE">
      <w:pPr>
        <w:numPr>
          <w:ilvl w:val="0"/>
          <w:numId w:val="10"/>
        </w:numPr>
        <w:spacing w:before="240"/>
      </w:pPr>
      <w:r>
        <w:t>individual learning</w:t>
      </w:r>
      <w:r>
        <w:br/>
      </w:r>
    </w:p>
    <w:p w14:paraId="0000000D" w14:textId="77777777" w:rsidR="00BA056A" w:rsidRDefault="00322DCE">
      <w:pPr>
        <w:numPr>
          <w:ilvl w:val="0"/>
          <w:numId w:val="10"/>
        </w:numPr>
      </w:pPr>
      <w:r>
        <w:t>team workshops</w:t>
      </w:r>
      <w:r>
        <w:br/>
      </w:r>
    </w:p>
    <w:p w14:paraId="0000000E" w14:textId="77777777" w:rsidR="00BA056A" w:rsidRDefault="00322DCE">
      <w:pPr>
        <w:numPr>
          <w:ilvl w:val="0"/>
          <w:numId w:val="10"/>
        </w:numPr>
      </w:pPr>
      <w:r>
        <w:t>induction and training</w:t>
      </w:r>
      <w:r>
        <w:br/>
      </w:r>
    </w:p>
    <w:p w14:paraId="0000000F" w14:textId="77777777" w:rsidR="00BA056A" w:rsidRDefault="00322DCE">
      <w:pPr>
        <w:numPr>
          <w:ilvl w:val="0"/>
          <w:numId w:val="10"/>
        </w:numPr>
      </w:pPr>
      <w:r>
        <w:t>leadership briefings</w:t>
      </w:r>
      <w:r>
        <w:br/>
      </w:r>
    </w:p>
    <w:p w14:paraId="00000010" w14:textId="77777777" w:rsidR="00BA056A" w:rsidRDefault="00322DCE">
      <w:pPr>
        <w:numPr>
          <w:ilvl w:val="0"/>
          <w:numId w:val="10"/>
        </w:numPr>
        <w:spacing w:after="240"/>
      </w:pPr>
      <w:r>
        <w:t>scenario-based planning</w:t>
      </w:r>
      <w:r>
        <w:br/>
      </w:r>
    </w:p>
    <w:p w14:paraId="00000011" w14:textId="77777777" w:rsidR="00BA056A" w:rsidRDefault="00322DCE">
      <w:pPr>
        <w:spacing w:before="240" w:after="240"/>
      </w:pPr>
      <w:r>
        <w:lastRenderedPageBreak/>
        <w:t xml:space="preserve">You may adapt these cases for your own sector, team, or </w:t>
      </w:r>
      <w:proofErr w:type="spellStart"/>
      <w:r>
        <w:t>organisational</w:t>
      </w:r>
      <w:proofErr w:type="spellEnd"/>
      <w:r>
        <w:t xml:space="preserve"> context.</w:t>
      </w:r>
    </w:p>
    <w:p w14:paraId="00000012" w14:textId="77777777" w:rsidR="00BA056A" w:rsidRDefault="00322DCE">
      <w:pPr>
        <w:spacing w:before="240" w:after="240"/>
      </w:pPr>
      <w:r>
        <w:t>Included here:</w:t>
      </w:r>
    </w:p>
    <w:p w14:paraId="00000013" w14:textId="77777777" w:rsidR="00BA056A" w:rsidRDefault="00322DCE">
      <w:pPr>
        <w:numPr>
          <w:ilvl w:val="0"/>
          <w:numId w:val="8"/>
        </w:numPr>
        <w:spacing w:before="240"/>
      </w:pPr>
      <w:r>
        <w:rPr>
          <w:b/>
          <w:bCs/>
        </w:rPr>
        <w:t>Education</w:t>
      </w:r>
      <w:r>
        <w:t xml:space="preserve"> – AI-supported Curriculum Review</w:t>
      </w:r>
      <w:r>
        <w:br/>
      </w:r>
    </w:p>
    <w:p w14:paraId="00000014" w14:textId="77777777" w:rsidR="00BA056A" w:rsidRDefault="00322DCE">
      <w:pPr>
        <w:numPr>
          <w:ilvl w:val="0"/>
          <w:numId w:val="8"/>
        </w:numPr>
      </w:pPr>
      <w:r>
        <w:rPr>
          <w:b/>
          <w:bCs/>
        </w:rPr>
        <w:t>Healthcare</w:t>
      </w:r>
      <w:r>
        <w:t xml:space="preserve"> – AI-Augmented Patient Communication</w:t>
      </w:r>
      <w:r>
        <w:br/>
      </w:r>
    </w:p>
    <w:p w14:paraId="00000015" w14:textId="77777777" w:rsidR="00BA056A" w:rsidRDefault="00322DCE">
      <w:pPr>
        <w:numPr>
          <w:ilvl w:val="0"/>
          <w:numId w:val="8"/>
        </w:numPr>
        <w:spacing w:after="240"/>
      </w:pPr>
      <w:r>
        <w:rPr>
          <w:b/>
          <w:bCs/>
        </w:rPr>
        <w:t>Public Services</w:t>
      </w:r>
      <w:r>
        <w:t xml:space="preserve"> – Local Government AI Policy Briefing</w:t>
      </w:r>
      <w:r>
        <w:br/>
      </w:r>
    </w:p>
    <w:p w14:paraId="00000016" w14:textId="77777777" w:rsidR="00BA056A" w:rsidRDefault="00322DCE">
      <w:pPr>
        <w:spacing w:before="240" w:after="240"/>
      </w:pPr>
      <w:r>
        <w:t>These three examples reflect the diversity of AI-enabled practice across professional environments.</w:t>
      </w:r>
    </w:p>
    <w:p w14:paraId="00000017" w14:textId="77777777" w:rsidR="00BA056A" w:rsidRDefault="00BE4A8D">
      <w:r>
        <w:rPr>
          <w:noProof/>
        </w:rPr>
        <w:pict w14:anchorId="1C628EEF">
          <v:rect id="_x0000_i1030" alt="" style="width:451.3pt;height:.05pt;mso-width-percent:0;mso-height-percent:0;mso-width-percent:0;mso-height-percent:0" o:hralign="center" o:hrstd="t" o:hr="t" fillcolor="#a0a0a0" stroked="f"/>
        </w:pict>
      </w:r>
    </w:p>
    <w:p w14:paraId="00000018" w14:textId="77777777" w:rsidR="00BA056A" w:rsidRDefault="00322DCE">
      <w:pPr>
        <w:pStyle w:val="Heading1"/>
        <w:keepNext w:val="0"/>
        <w:keepLines w:val="0"/>
        <w:spacing w:before="480"/>
        <w:rPr>
          <w:b/>
          <w:bCs/>
          <w:sz w:val="46"/>
          <w:szCs w:val="46"/>
        </w:rPr>
      </w:pPr>
      <w:bookmarkStart w:id="2" w:name="_tw3pd5wkpev1" w:colFirst="0" w:colLast="0"/>
      <w:bookmarkEnd w:id="2"/>
      <w:r>
        <w:rPr>
          <w:b/>
          <w:bCs/>
          <w:sz w:val="46"/>
          <w:szCs w:val="46"/>
        </w:rPr>
        <w:t>2. Education Case Example</w:t>
      </w:r>
    </w:p>
    <w:p w14:paraId="00000019" w14:textId="77777777" w:rsidR="00BA056A" w:rsidRDefault="00322DCE">
      <w:pPr>
        <w:pStyle w:val="Heading3"/>
        <w:keepNext w:val="0"/>
        <w:keepLines w:val="0"/>
        <w:spacing w:before="280"/>
        <w:rPr>
          <w:b/>
          <w:bCs/>
          <w:color w:val="000000"/>
          <w:sz w:val="26"/>
          <w:szCs w:val="26"/>
        </w:rPr>
      </w:pPr>
      <w:bookmarkStart w:id="3" w:name="_4mam9vw85n97" w:colFirst="0" w:colLast="0"/>
      <w:bookmarkEnd w:id="3"/>
      <w:r>
        <w:rPr>
          <w:b/>
          <w:bCs/>
          <w:color w:val="000000"/>
          <w:sz w:val="26"/>
          <w:szCs w:val="26"/>
        </w:rPr>
        <w:t>AI-Supported Curriculum Review</w:t>
      </w:r>
    </w:p>
    <w:p w14:paraId="0000001A" w14:textId="77777777" w:rsidR="00BA056A" w:rsidRDefault="00322DCE">
      <w:pPr>
        <w:pStyle w:val="Heading3"/>
        <w:keepNext w:val="0"/>
        <w:keepLines w:val="0"/>
        <w:spacing w:before="280"/>
        <w:rPr>
          <w:b/>
          <w:bCs/>
          <w:color w:val="000000"/>
          <w:sz w:val="26"/>
          <w:szCs w:val="26"/>
        </w:rPr>
      </w:pPr>
      <w:bookmarkStart w:id="4" w:name="_76nwkl9pebt4" w:colFirst="0" w:colLast="0"/>
      <w:bookmarkEnd w:id="4"/>
      <w:r>
        <w:rPr>
          <w:b/>
          <w:bCs/>
          <w:color w:val="000000"/>
          <w:sz w:val="26"/>
          <w:szCs w:val="26"/>
        </w:rPr>
        <w:t>Scenario Overview</w:t>
      </w:r>
    </w:p>
    <w:p w14:paraId="0000001B" w14:textId="77777777" w:rsidR="00BA056A" w:rsidRDefault="00322DCE">
      <w:pPr>
        <w:spacing w:before="240" w:after="240"/>
      </w:pPr>
      <w:r>
        <w:t>A university faculty is preparing for a cyclical curriculum review. Staff must evaluate alignment between learning outcomes, assessments, graduate attributes, and external benchmarks. Time is limited, and the review committee wants deeper insight into coherence, progression, and potential duplication.</w:t>
      </w:r>
    </w:p>
    <w:p w14:paraId="0000001C" w14:textId="77777777" w:rsidR="00BA056A" w:rsidRDefault="00322DCE">
      <w:pPr>
        <w:pStyle w:val="Heading3"/>
        <w:keepNext w:val="0"/>
        <w:keepLines w:val="0"/>
        <w:spacing w:before="280"/>
        <w:rPr>
          <w:b/>
          <w:bCs/>
          <w:color w:val="000000"/>
          <w:sz w:val="26"/>
          <w:szCs w:val="26"/>
        </w:rPr>
      </w:pPr>
      <w:bookmarkStart w:id="5" w:name="_3jwchcctdsyi" w:colFirst="0" w:colLast="0"/>
      <w:bookmarkEnd w:id="5"/>
      <w:r>
        <w:rPr>
          <w:b/>
          <w:bCs/>
          <w:color w:val="000000"/>
          <w:sz w:val="26"/>
          <w:szCs w:val="26"/>
        </w:rPr>
        <w:t>AI-Enabled Workflow</w:t>
      </w:r>
    </w:p>
    <w:p w14:paraId="0000001D" w14:textId="77777777" w:rsidR="00BA056A" w:rsidRDefault="00322DCE">
      <w:pPr>
        <w:spacing w:before="240" w:after="240"/>
      </w:pPr>
      <w:r>
        <w:rPr>
          <w:b/>
          <w:bCs/>
        </w:rPr>
        <w:t>1. Synthesis of existing documentation</w:t>
      </w:r>
      <w:r>
        <w:rPr>
          <w:b/>
          <w:bCs/>
        </w:rPr>
        <w:br/>
      </w:r>
      <w:r>
        <w:t xml:space="preserve"> AI aggregates module guides, learning outcomes, assessments, rubrics, and feedback summaries.</w:t>
      </w:r>
    </w:p>
    <w:p w14:paraId="0000001E" w14:textId="77777777" w:rsidR="00BA056A" w:rsidRDefault="00322DCE">
      <w:pPr>
        <w:spacing w:before="240" w:after="240"/>
      </w:pPr>
      <w:r>
        <w:rPr>
          <w:b/>
          <w:bCs/>
        </w:rPr>
        <w:t>2. Coherence analysis</w:t>
      </w:r>
      <w:r>
        <w:rPr>
          <w:b/>
          <w:bCs/>
        </w:rPr>
        <w:br/>
      </w:r>
      <w:r>
        <w:t xml:space="preserve"> The system identifies redundancies, gaps in progression, and mismatched assessment types.</w:t>
      </w:r>
    </w:p>
    <w:p w14:paraId="0000001F" w14:textId="77777777" w:rsidR="00BA056A" w:rsidRDefault="00322DCE">
      <w:pPr>
        <w:spacing w:before="240" w:after="240"/>
      </w:pPr>
      <w:r>
        <w:rPr>
          <w:b/>
          <w:bCs/>
        </w:rPr>
        <w:t>3. Scenario modelling</w:t>
      </w:r>
      <w:r>
        <w:rPr>
          <w:b/>
          <w:bCs/>
        </w:rPr>
        <w:br/>
      </w:r>
      <w:r>
        <w:t xml:space="preserve"> AI generates visual “what-if” models showing how small structural changes (e.g., moving assessments, adjusting prerequisites) affect student progression.</w:t>
      </w:r>
    </w:p>
    <w:p w14:paraId="00000020" w14:textId="77777777" w:rsidR="00BA056A" w:rsidRDefault="00322DCE">
      <w:pPr>
        <w:spacing w:before="240" w:after="240"/>
      </w:pPr>
      <w:r>
        <w:rPr>
          <w:b/>
          <w:bCs/>
        </w:rPr>
        <w:t>4. Human interpretation and refinement</w:t>
      </w:r>
      <w:r>
        <w:rPr>
          <w:b/>
          <w:bCs/>
        </w:rPr>
        <w:br/>
      </w:r>
      <w:r>
        <w:t xml:space="preserve"> Academic </w:t>
      </w:r>
      <w:proofErr w:type="gramStart"/>
      <w:r>
        <w:t>leads</w:t>
      </w:r>
      <w:proofErr w:type="gramEnd"/>
      <w:r>
        <w:t xml:space="preserve"> challenge assumptions, </w:t>
      </w:r>
      <w:proofErr w:type="spellStart"/>
      <w:r>
        <w:t>contextualise</w:t>
      </w:r>
      <w:proofErr w:type="spellEnd"/>
      <w:r>
        <w:t xml:space="preserve"> recommendations, and adjust suggestions based on disciplinary norms.</w:t>
      </w:r>
    </w:p>
    <w:p w14:paraId="00000021" w14:textId="77777777" w:rsidR="00BA056A" w:rsidRDefault="00322DCE">
      <w:pPr>
        <w:pStyle w:val="Heading3"/>
        <w:keepNext w:val="0"/>
        <w:keepLines w:val="0"/>
        <w:spacing w:before="280"/>
        <w:rPr>
          <w:b/>
          <w:bCs/>
          <w:color w:val="000000"/>
          <w:sz w:val="26"/>
          <w:szCs w:val="26"/>
        </w:rPr>
      </w:pPr>
      <w:bookmarkStart w:id="6" w:name="_slwul0neok4k" w:colFirst="0" w:colLast="0"/>
      <w:bookmarkEnd w:id="6"/>
      <w:r>
        <w:rPr>
          <w:b/>
          <w:bCs/>
          <w:color w:val="000000"/>
          <w:sz w:val="26"/>
          <w:szCs w:val="26"/>
        </w:rPr>
        <w:lastRenderedPageBreak/>
        <w:t>Framework Domains in Action</w:t>
      </w:r>
    </w:p>
    <w:p w14:paraId="00000022" w14:textId="77777777" w:rsidR="00BA056A" w:rsidRDefault="00322DCE">
      <w:pPr>
        <w:numPr>
          <w:ilvl w:val="0"/>
          <w:numId w:val="6"/>
        </w:numPr>
        <w:spacing w:before="240"/>
      </w:pPr>
      <w:r>
        <w:rPr>
          <w:b/>
          <w:bCs/>
        </w:rPr>
        <w:t>AI Awareness &amp; Orientation</w:t>
      </w:r>
      <w:r>
        <w:rPr>
          <w:b/>
          <w:bCs/>
        </w:rPr>
        <w:br/>
      </w:r>
      <w:r>
        <w:t xml:space="preserve"> Staff examine system assumptions, data limits, and interpretation boundaries.</w:t>
      </w:r>
      <w:r>
        <w:br/>
      </w:r>
    </w:p>
    <w:p w14:paraId="00000023" w14:textId="77777777" w:rsidR="00BA056A" w:rsidRDefault="00322DCE">
      <w:pPr>
        <w:numPr>
          <w:ilvl w:val="0"/>
          <w:numId w:val="6"/>
        </w:numPr>
      </w:pPr>
      <w:r>
        <w:rPr>
          <w:b/>
          <w:bCs/>
        </w:rPr>
        <w:t>Human–AI Co-Agency</w:t>
      </w:r>
      <w:r>
        <w:rPr>
          <w:b/>
          <w:bCs/>
        </w:rPr>
        <w:br/>
      </w:r>
      <w:r>
        <w:t xml:space="preserve"> Academics retain judgement; AI accelerates synthesis and highlights patterns.</w:t>
      </w:r>
      <w:r>
        <w:br/>
      </w:r>
    </w:p>
    <w:p w14:paraId="00000024" w14:textId="77777777" w:rsidR="00BA056A" w:rsidRDefault="00322DCE">
      <w:pPr>
        <w:numPr>
          <w:ilvl w:val="0"/>
          <w:numId w:val="6"/>
        </w:numPr>
      </w:pPr>
      <w:r>
        <w:rPr>
          <w:b/>
          <w:bCs/>
        </w:rPr>
        <w:t>Generative Practice &amp; Innovation</w:t>
      </w:r>
      <w:r>
        <w:rPr>
          <w:b/>
          <w:bCs/>
        </w:rPr>
        <w:br/>
      </w:r>
      <w:r>
        <w:t xml:space="preserve"> Staff explore alternative </w:t>
      </w:r>
      <w:proofErr w:type="spellStart"/>
      <w:r>
        <w:t>programme</w:t>
      </w:r>
      <w:proofErr w:type="spellEnd"/>
      <w:r>
        <w:t xml:space="preserve"> structures and assessment strategies.</w:t>
      </w:r>
      <w:r>
        <w:br/>
      </w:r>
    </w:p>
    <w:p w14:paraId="00000025" w14:textId="77777777" w:rsidR="00BA056A" w:rsidRDefault="00322DCE">
      <w:pPr>
        <w:numPr>
          <w:ilvl w:val="0"/>
          <w:numId w:val="6"/>
        </w:numPr>
      </w:pPr>
      <w:r>
        <w:rPr>
          <w:b/>
          <w:bCs/>
        </w:rPr>
        <w:t>Ethics, Equity &amp; Impact</w:t>
      </w:r>
      <w:r>
        <w:rPr>
          <w:b/>
          <w:bCs/>
        </w:rPr>
        <w:br/>
      </w:r>
      <w:r>
        <w:t xml:space="preserve"> Equity concerns emerge: Are assessments inclusive? Are some groups disadvantaged?</w:t>
      </w:r>
      <w:r>
        <w:br/>
      </w:r>
    </w:p>
    <w:p w14:paraId="00000026" w14:textId="77777777" w:rsidR="00BA056A" w:rsidRDefault="00322DCE">
      <w:pPr>
        <w:numPr>
          <w:ilvl w:val="0"/>
          <w:numId w:val="6"/>
        </w:numPr>
      </w:pPr>
      <w:r>
        <w:rPr>
          <w:b/>
          <w:bCs/>
        </w:rPr>
        <w:t>Decision-Making &amp; Governance</w:t>
      </w:r>
      <w:r>
        <w:rPr>
          <w:b/>
          <w:bCs/>
        </w:rPr>
        <w:br/>
      </w:r>
      <w:r>
        <w:t xml:space="preserve"> The committee documents rationale, oversight roles, and review decisions.</w:t>
      </w:r>
      <w:r>
        <w:br/>
      </w:r>
    </w:p>
    <w:p w14:paraId="00000027" w14:textId="77777777" w:rsidR="00BA056A" w:rsidRDefault="00322DCE">
      <w:pPr>
        <w:numPr>
          <w:ilvl w:val="0"/>
          <w:numId w:val="6"/>
        </w:numPr>
        <w:spacing w:after="240"/>
      </w:pPr>
      <w:r>
        <w:rPr>
          <w:b/>
          <w:bCs/>
        </w:rPr>
        <w:t>Reflection, Learning &amp; Renewal</w:t>
      </w:r>
      <w:r>
        <w:rPr>
          <w:b/>
          <w:bCs/>
        </w:rPr>
        <w:br/>
      </w:r>
      <w:r>
        <w:t xml:space="preserve"> Lessons are recorded for future curriculum cycles.</w:t>
      </w:r>
      <w:r>
        <w:br/>
      </w:r>
    </w:p>
    <w:p w14:paraId="00000028" w14:textId="77777777" w:rsidR="00BA056A" w:rsidRDefault="00322DCE">
      <w:pPr>
        <w:pStyle w:val="Heading3"/>
        <w:keepNext w:val="0"/>
        <w:keepLines w:val="0"/>
        <w:spacing w:before="280"/>
        <w:rPr>
          <w:b/>
          <w:bCs/>
          <w:color w:val="000000"/>
          <w:sz w:val="26"/>
          <w:szCs w:val="26"/>
        </w:rPr>
      </w:pPr>
      <w:bookmarkStart w:id="7" w:name="_3aiv68hmul3c" w:colFirst="0" w:colLast="0"/>
      <w:bookmarkEnd w:id="7"/>
      <w:r>
        <w:rPr>
          <w:b/>
          <w:bCs/>
          <w:color w:val="000000"/>
          <w:sz w:val="26"/>
          <w:szCs w:val="26"/>
        </w:rPr>
        <w:t>Lessons Learned</w:t>
      </w:r>
    </w:p>
    <w:p w14:paraId="00000029" w14:textId="77777777" w:rsidR="00BA056A" w:rsidRDefault="00322DCE">
      <w:pPr>
        <w:numPr>
          <w:ilvl w:val="0"/>
          <w:numId w:val="7"/>
        </w:numPr>
        <w:spacing w:before="240"/>
      </w:pPr>
      <w:r>
        <w:t>AI reveals patterns that humans might overlook, but recommendations require contextual interpretation.</w:t>
      </w:r>
      <w:r>
        <w:br/>
      </w:r>
    </w:p>
    <w:p w14:paraId="0000002A" w14:textId="77777777" w:rsidR="00BA056A" w:rsidRDefault="00322DCE">
      <w:pPr>
        <w:numPr>
          <w:ilvl w:val="0"/>
          <w:numId w:val="7"/>
        </w:numPr>
      </w:pPr>
      <w:r>
        <w:t>Transparent logging strengthens internal trust in the process.</w:t>
      </w:r>
      <w:r>
        <w:br/>
      </w:r>
    </w:p>
    <w:p w14:paraId="0000002B" w14:textId="77777777" w:rsidR="00BA056A" w:rsidRDefault="00322DCE">
      <w:pPr>
        <w:numPr>
          <w:ilvl w:val="0"/>
          <w:numId w:val="7"/>
        </w:numPr>
        <w:spacing w:after="240"/>
      </w:pPr>
      <w:r>
        <w:t xml:space="preserve">Equity analysis improves </w:t>
      </w:r>
      <w:proofErr w:type="spellStart"/>
      <w:r>
        <w:t>programme</w:t>
      </w:r>
      <w:proofErr w:type="spellEnd"/>
      <w:r>
        <w:t xml:space="preserve"> design for diverse learners.</w:t>
      </w:r>
      <w:r>
        <w:br/>
      </w:r>
    </w:p>
    <w:p w14:paraId="0000002C" w14:textId="77777777" w:rsidR="00BA056A" w:rsidRDefault="00322DCE">
      <w:pPr>
        <w:pStyle w:val="Heading3"/>
        <w:keepNext w:val="0"/>
        <w:keepLines w:val="0"/>
        <w:spacing w:before="280"/>
        <w:rPr>
          <w:b/>
          <w:bCs/>
          <w:color w:val="000000"/>
          <w:sz w:val="26"/>
          <w:szCs w:val="26"/>
        </w:rPr>
      </w:pPr>
      <w:bookmarkStart w:id="8" w:name="_wq3i5np0f6pf" w:colFirst="0" w:colLast="0"/>
      <w:bookmarkEnd w:id="8"/>
      <w:r>
        <w:rPr>
          <w:b/>
          <w:bCs/>
          <w:color w:val="000000"/>
          <w:sz w:val="26"/>
          <w:szCs w:val="26"/>
        </w:rPr>
        <w:t>Suggested Adaptation</w:t>
      </w:r>
    </w:p>
    <w:p w14:paraId="0000002D" w14:textId="77777777" w:rsidR="00BA056A" w:rsidRDefault="00322DCE">
      <w:pPr>
        <w:spacing w:before="240" w:after="240"/>
      </w:pPr>
      <w:r>
        <w:t>Use this workflow for smaller tasks such as module redesign, assessment calibration, or short-cycle quality reviews.</w:t>
      </w:r>
    </w:p>
    <w:p w14:paraId="0000002E" w14:textId="77777777" w:rsidR="00BA056A" w:rsidRDefault="00BE4A8D">
      <w:r>
        <w:rPr>
          <w:noProof/>
        </w:rPr>
        <w:pict w14:anchorId="160F6330">
          <v:rect id="_x0000_i1029" alt="" style="width:451.3pt;height:.05pt;mso-width-percent:0;mso-height-percent:0;mso-width-percent:0;mso-height-percent:0" o:hralign="center" o:hrstd="t" o:hr="t" fillcolor="#a0a0a0" stroked="f"/>
        </w:pict>
      </w:r>
    </w:p>
    <w:p w14:paraId="2FC5DB25" w14:textId="77777777" w:rsidR="0091265A" w:rsidRDefault="0091265A">
      <w:pPr>
        <w:rPr>
          <w:b/>
          <w:bCs/>
          <w:sz w:val="46"/>
          <w:szCs w:val="46"/>
        </w:rPr>
      </w:pPr>
      <w:bookmarkStart w:id="9" w:name="_r31877rcf9t7" w:colFirst="0" w:colLast="0"/>
      <w:bookmarkEnd w:id="9"/>
      <w:r>
        <w:rPr>
          <w:b/>
          <w:bCs/>
          <w:sz w:val="46"/>
          <w:szCs w:val="46"/>
        </w:rPr>
        <w:br w:type="page"/>
      </w:r>
    </w:p>
    <w:p w14:paraId="0000002F" w14:textId="226C4CAA" w:rsidR="00BA056A" w:rsidRDefault="00322DCE">
      <w:pPr>
        <w:pStyle w:val="Heading1"/>
        <w:keepNext w:val="0"/>
        <w:keepLines w:val="0"/>
        <w:spacing w:before="480"/>
        <w:rPr>
          <w:b/>
          <w:bCs/>
          <w:sz w:val="46"/>
          <w:szCs w:val="46"/>
        </w:rPr>
      </w:pPr>
      <w:r>
        <w:rPr>
          <w:b/>
          <w:bCs/>
          <w:sz w:val="46"/>
          <w:szCs w:val="46"/>
        </w:rPr>
        <w:lastRenderedPageBreak/>
        <w:t>3. Healthcare Case Example</w:t>
      </w:r>
    </w:p>
    <w:p w14:paraId="00000030" w14:textId="77777777" w:rsidR="00BA056A" w:rsidRDefault="00322DCE">
      <w:pPr>
        <w:pStyle w:val="Heading3"/>
        <w:keepNext w:val="0"/>
        <w:keepLines w:val="0"/>
        <w:spacing w:before="280"/>
        <w:rPr>
          <w:b/>
          <w:bCs/>
          <w:color w:val="000000"/>
          <w:sz w:val="26"/>
          <w:szCs w:val="26"/>
        </w:rPr>
      </w:pPr>
      <w:bookmarkStart w:id="10" w:name="_wkxzn75hcpn5" w:colFirst="0" w:colLast="0"/>
      <w:bookmarkEnd w:id="10"/>
      <w:r>
        <w:rPr>
          <w:b/>
          <w:bCs/>
          <w:color w:val="000000"/>
          <w:sz w:val="26"/>
          <w:szCs w:val="26"/>
        </w:rPr>
        <w:t>AI-Augmented Patient Communication</w:t>
      </w:r>
    </w:p>
    <w:p w14:paraId="00000031" w14:textId="77777777" w:rsidR="00BA056A" w:rsidRDefault="00322DCE">
      <w:pPr>
        <w:pStyle w:val="Heading3"/>
        <w:keepNext w:val="0"/>
        <w:keepLines w:val="0"/>
        <w:spacing w:before="280"/>
        <w:rPr>
          <w:b/>
          <w:bCs/>
          <w:color w:val="000000"/>
          <w:sz w:val="26"/>
          <w:szCs w:val="26"/>
        </w:rPr>
      </w:pPr>
      <w:bookmarkStart w:id="11" w:name="_etwq2gp6f8yp" w:colFirst="0" w:colLast="0"/>
      <w:bookmarkEnd w:id="11"/>
      <w:r>
        <w:rPr>
          <w:b/>
          <w:bCs/>
          <w:color w:val="000000"/>
          <w:sz w:val="26"/>
          <w:szCs w:val="26"/>
        </w:rPr>
        <w:t>Scenario Overview</w:t>
      </w:r>
    </w:p>
    <w:p w14:paraId="00000032" w14:textId="77777777" w:rsidR="00BA056A" w:rsidRDefault="00322DCE">
      <w:pPr>
        <w:spacing w:before="240" w:after="240"/>
      </w:pPr>
      <w:r>
        <w:t>A hospital communications team needs to update patient information leaflets across several treatment pathways. Materials must be multilingual, accessible, and medically accurate. Timelines are tight.</w:t>
      </w:r>
    </w:p>
    <w:p w14:paraId="00000033" w14:textId="77777777" w:rsidR="00BA056A" w:rsidRDefault="00322DCE">
      <w:pPr>
        <w:pStyle w:val="Heading3"/>
        <w:keepNext w:val="0"/>
        <w:keepLines w:val="0"/>
        <w:spacing w:before="280"/>
        <w:rPr>
          <w:b/>
          <w:bCs/>
          <w:color w:val="000000"/>
          <w:sz w:val="26"/>
          <w:szCs w:val="26"/>
        </w:rPr>
      </w:pPr>
      <w:bookmarkStart w:id="12" w:name="_e6nlyew73rhg" w:colFirst="0" w:colLast="0"/>
      <w:bookmarkEnd w:id="12"/>
      <w:r>
        <w:rPr>
          <w:b/>
          <w:bCs/>
          <w:color w:val="000000"/>
          <w:sz w:val="26"/>
          <w:szCs w:val="26"/>
        </w:rPr>
        <w:t>AI-Enabled Workflow</w:t>
      </w:r>
    </w:p>
    <w:p w14:paraId="00000034" w14:textId="77777777" w:rsidR="00BA056A" w:rsidRDefault="00322DCE">
      <w:pPr>
        <w:spacing w:before="240" w:after="240"/>
      </w:pPr>
      <w:r>
        <w:rPr>
          <w:b/>
          <w:bCs/>
        </w:rPr>
        <w:t>1. Draft generation</w:t>
      </w:r>
      <w:r>
        <w:rPr>
          <w:b/>
          <w:bCs/>
        </w:rPr>
        <w:br/>
      </w:r>
      <w:r>
        <w:t xml:space="preserve"> AI produces first-draft patient leaflets in multiple languages at readability level B1.</w:t>
      </w:r>
    </w:p>
    <w:p w14:paraId="00000035" w14:textId="77777777" w:rsidR="00BA056A" w:rsidRDefault="00322DCE">
      <w:pPr>
        <w:spacing w:before="240" w:after="240"/>
      </w:pPr>
      <w:r>
        <w:rPr>
          <w:b/>
          <w:bCs/>
        </w:rPr>
        <w:t>2. Clinical validation</w:t>
      </w:r>
      <w:r>
        <w:rPr>
          <w:b/>
          <w:bCs/>
        </w:rPr>
        <w:br/>
      </w:r>
      <w:r>
        <w:t xml:space="preserve"> Doctors and nurses correct inaccuracies, clarify risk communication, and check medical nuance.</w:t>
      </w:r>
    </w:p>
    <w:p w14:paraId="00000036" w14:textId="77777777" w:rsidR="00BA056A" w:rsidRDefault="00322DCE">
      <w:pPr>
        <w:spacing w:before="240" w:after="240"/>
      </w:pPr>
      <w:r>
        <w:rPr>
          <w:b/>
          <w:bCs/>
        </w:rPr>
        <w:t>3. Cultural and accessibility review</w:t>
      </w:r>
      <w:r>
        <w:rPr>
          <w:b/>
          <w:bCs/>
        </w:rPr>
        <w:br/>
      </w:r>
      <w:r>
        <w:t xml:space="preserve"> A patient advisory group evaluates clarity, tone, and cultural resonance.</w:t>
      </w:r>
    </w:p>
    <w:p w14:paraId="00000037" w14:textId="77777777" w:rsidR="00BA056A" w:rsidRDefault="00322DCE">
      <w:pPr>
        <w:spacing w:before="240" w:after="240"/>
      </w:pPr>
      <w:r>
        <w:rPr>
          <w:b/>
          <w:bCs/>
        </w:rPr>
        <w:t>4. Oversight documentation</w:t>
      </w:r>
      <w:r>
        <w:rPr>
          <w:b/>
          <w:bCs/>
        </w:rPr>
        <w:br/>
      </w:r>
      <w:r>
        <w:t xml:space="preserve"> The team uses a governance log to document where AI contributed, medical sign-off, and patient feedback.</w:t>
      </w:r>
    </w:p>
    <w:p w14:paraId="00000038" w14:textId="77777777" w:rsidR="00BA056A" w:rsidRDefault="00322DCE">
      <w:pPr>
        <w:pStyle w:val="Heading3"/>
        <w:keepNext w:val="0"/>
        <w:keepLines w:val="0"/>
        <w:spacing w:before="280"/>
        <w:rPr>
          <w:b/>
          <w:bCs/>
          <w:color w:val="000000"/>
          <w:sz w:val="26"/>
          <w:szCs w:val="26"/>
        </w:rPr>
      </w:pPr>
      <w:bookmarkStart w:id="13" w:name="_nygnlp79h1go" w:colFirst="0" w:colLast="0"/>
      <w:bookmarkEnd w:id="13"/>
      <w:r>
        <w:rPr>
          <w:b/>
          <w:bCs/>
          <w:color w:val="000000"/>
          <w:sz w:val="26"/>
          <w:szCs w:val="26"/>
        </w:rPr>
        <w:t>Framework Domains in Action</w:t>
      </w:r>
    </w:p>
    <w:p w14:paraId="00000039" w14:textId="77777777" w:rsidR="00BA056A" w:rsidRDefault="00322DCE">
      <w:pPr>
        <w:numPr>
          <w:ilvl w:val="0"/>
          <w:numId w:val="4"/>
        </w:numPr>
        <w:spacing w:before="240"/>
      </w:pPr>
      <w:r>
        <w:rPr>
          <w:b/>
          <w:bCs/>
        </w:rPr>
        <w:t>AI Awareness &amp; Orientation</w:t>
      </w:r>
      <w:r>
        <w:rPr>
          <w:b/>
          <w:bCs/>
        </w:rPr>
        <w:br/>
      </w:r>
      <w:r>
        <w:t xml:space="preserve"> Staff examine translation limits and medical safety considerations.</w:t>
      </w:r>
      <w:r>
        <w:br/>
      </w:r>
    </w:p>
    <w:p w14:paraId="0000003A" w14:textId="77777777" w:rsidR="00BA056A" w:rsidRDefault="00322DCE">
      <w:pPr>
        <w:numPr>
          <w:ilvl w:val="0"/>
          <w:numId w:val="4"/>
        </w:numPr>
      </w:pPr>
      <w:r>
        <w:rPr>
          <w:b/>
          <w:bCs/>
        </w:rPr>
        <w:t>Human–AI Co-Agency</w:t>
      </w:r>
      <w:r>
        <w:rPr>
          <w:b/>
          <w:bCs/>
        </w:rPr>
        <w:br/>
      </w:r>
      <w:r>
        <w:t xml:space="preserve"> AI drafts; clinicians maintain medical accuracy and safety.</w:t>
      </w:r>
      <w:r>
        <w:br/>
        <w:t xml:space="preserve"> Patient groups ensure lived experience remains central.</w:t>
      </w:r>
      <w:r>
        <w:br/>
      </w:r>
    </w:p>
    <w:p w14:paraId="0000003B" w14:textId="77777777" w:rsidR="00BA056A" w:rsidRDefault="00322DCE">
      <w:pPr>
        <w:numPr>
          <w:ilvl w:val="0"/>
          <w:numId w:val="4"/>
        </w:numPr>
      </w:pPr>
      <w:r>
        <w:rPr>
          <w:b/>
          <w:bCs/>
        </w:rPr>
        <w:t>Generative Practice &amp; Innovation</w:t>
      </w:r>
      <w:r>
        <w:rPr>
          <w:b/>
          <w:bCs/>
        </w:rPr>
        <w:br/>
      </w:r>
      <w:r>
        <w:t xml:space="preserve"> Iterative drafting accelerates multilingual production.</w:t>
      </w:r>
      <w:r>
        <w:br/>
      </w:r>
    </w:p>
    <w:p w14:paraId="0000003C" w14:textId="77777777" w:rsidR="00BA056A" w:rsidRDefault="00322DCE">
      <w:pPr>
        <w:numPr>
          <w:ilvl w:val="0"/>
          <w:numId w:val="4"/>
        </w:numPr>
      </w:pPr>
      <w:r>
        <w:rPr>
          <w:b/>
          <w:bCs/>
        </w:rPr>
        <w:t>Ethics, Equity &amp; Impact</w:t>
      </w:r>
      <w:r>
        <w:rPr>
          <w:b/>
          <w:bCs/>
        </w:rPr>
        <w:br/>
      </w:r>
      <w:r>
        <w:t xml:space="preserve"> Accessibility and cultural equity are </w:t>
      </w:r>
      <w:proofErr w:type="spellStart"/>
      <w:r>
        <w:t>prioritised</w:t>
      </w:r>
      <w:proofErr w:type="spellEnd"/>
      <w:r>
        <w:t>.</w:t>
      </w:r>
      <w:r>
        <w:br/>
      </w:r>
    </w:p>
    <w:p w14:paraId="0000003D" w14:textId="77777777" w:rsidR="00BA056A" w:rsidRDefault="00322DCE">
      <w:pPr>
        <w:numPr>
          <w:ilvl w:val="0"/>
          <w:numId w:val="4"/>
        </w:numPr>
      </w:pPr>
      <w:r>
        <w:rPr>
          <w:b/>
          <w:bCs/>
        </w:rPr>
        <w:t>Decision-Making &amp; Governance</w:t>
      </w:r>
      <w:r>
        <w:rPr>
          <w:b/>
          <w:bCs/>
        </w:rPr>
        <w:br/>
      </w:r>
      <w:r>
        <w:t xml:space="preserve"> Clear sign-off chains and risk logs prevent miscommunication.</w:t>
      </w:r>
      <w:r>
        <w:br/>
      </w:r>
    </w:p>
    <w:p w14:paraId="0000003E" w14:textId="77777777" w:rsidR="00BA056A" w:rsidRDefault="00322DCE">
      <w:pPr>
        <w:numPr>
          <w:ilvl w:val="0"/>
          <w:numId w:val="4"/>
        </w:numPr>
        <w:spacing w:after="240"/>
      </w:pPr>
      <w:r>
        <w:rPr>
          <w:b/>
          <w:bCs/>
        </w:rPr>
        <w:lastRenderedPageBreak/>
        <w:t>Reflection, Learning &amp; Renewal</w:t>
      </w:r>
      <w:r>
        <w:rPr>
          <w:b/>
          <w:bCs/>
        </w:rPr>
        <w:br/>
      </w:r>
      <w:r>
        <w:t xml:space="preserve"> Teams refine templates for future updates.</w:t>
      </w:r>
      <w:r>
        <w:br/>
      </w:r>
    </w:p>
    <w:p w14:paraId="0000003F" w14:textId="77777777" w:rsidR="00BA056A" w:rsidRDefault="00322DCE">
      <w:pPr>
        <w:pStyle w:val="Heading3"/>
        <w:keepNext w:val="0"/>
        <w:keepLines w:val="0"/>
        <w:spacing w:before="280"/>
        <w:rPr>
          <w:b/>
          <w:bCs/>
          <w:color w:val="000000"/>
          <w:sz w:val="26"/>
          <w:szCs w:val="26"/>
        </w:rPr>
      </w:pPr>
      <w:bookmarkStart w:id="14" w:name="_ziicq9cctmbu" w:colFirst="0" w:colLast="0"/>
      <w:bookmarkEnd w:id="14"/>
      <w:r>
        <w:rPr>
          <w:b/>
          <w:bCs/>
          <w:color w:val="000000"/>
          <w:sz w:val="26"/>
          <w:szCs w:val="26"/>
        </w:rPr>
        <w:t>Lessons Learned</w:t>
      </w:r>
    </w:p>
    <w:p w14:paraId="00000040" w14:textId="77777777" w:rsidR="00BA056A" w:rsidRDefault="00322DCE">
      <w:pPr>
        <w:numPr>
          <w:ilvl w:val="0"/>
          <w:numId w:val="9"/>
        </w:numPr>
        <w:spacing w:before="240"/>
      </w:pPr>
      <w:r>
        <w:t>Multilingual drafting accelerates production dramatically.</w:t>
      </w:r>
      <w:r>
        <w:br/>
      </w:r>
    </w:p>
    <w:p w14:paraId="00000041" w14:textId="77777777" w:rsidR="00BA056A" w:rsidRDefault="00322DCE">
      <w:pPr>
        <w:numPr>
          <w:ilvl w:val="0"/>
          <w:numId w:val="9"/>
        </w:numPr>
      </w:pPr>
      <w:r>
        <w:t>Patient involvement identifies usability and cultural gaps AI alone cannot detect.</w:t>
      </w:r>
      <w:r>
        <w:br/>
      </w:r>
    </w:p>
    <w:p w14:paraId="00000042" w14:textId="77777777" w:rsidR="00BA056A" w:rsidRDefault="00322DCE">
      <w:pPr>
        <w:numPr>
          <w:ilvl w:val="0"/>
          <w:numId w:val="9"/>
        </w:numPr>
        <w:spacing w:after="240"/>
      </w:pPr>
      <w:r>
        <w:t>Governance logs reduce liability and strengthen trust.</w:t>
      </w:r>
      <w:r>
        <w:br/>
      </w:r>
    </w:p>
    <w:p w14:paraId="00000043" w14:textId="77777777" w:rsidR="00BA056A" w:rsidRDefault="00322DCE">
      <w:pPr>
        <w:pStyle w:val="Heading3"/>
        <w:keepNext w:val="0"/>
        <w:keepLines w:val="0"/>
        <w:spacing w:before="280"/>
        <w:rPr>
          <w:b/>
          <w:bCs/>
          <w:color w:val="000000"/>
          <w:sz w:val="26"/>
          <w:szCs w:val="26"/>
        </w:rPr>
      </w:pPr>
      <w:bookmarkStart w:id="15" w:name="_wyztvdvnstbd" w:colFirst="0" w:colLast="0"/>
      <w:bookmarkEnd w:id="15"/>
      <w:r>
        <w:rPr>
          <w:b/>
          <w:bCs/>
          <w:color w:val="000000"/>
          <w:sz w:val="26"/>
          <w:szCs w:val="26"/>
        </w:rPr>
        <w:t>Suggested Adaptation</w:t>
      </w:r>
    </w:p>
    <w:p w14:paraId="00000044" w14:textId="77777777" w:rsidR="00BA056A" w:rsidRDefault="00322DCE">
      <w:pPr>
        <w:spacing w:before="240" w:after="240"/>
      </w:pPr>
      <w:r>
        <w:t>Apply this model to clinical FAQs, onboarding materials, or consent forms.</w:t>
      </w:r>
    </w:p>
    <w:p w14:paraId="00000045" w14:textId="77777777" w:rsidR="00BA056A" w:rsidRDefault="00BE4A8D">
      <w:r>
        <w:rPr>
          <w:noProof/>
        </w:rPr>
        <w:pict w14:anchorId="687F7C5B">
          <v:rect id="_x0000_i1028" alt="" style="width:451.3pt;height:.05pt;mso-width-percent:0;mso-height-percent:0;mso-width-percent:0;mso-height-percent:0" o:hralign="center" o:hrstd="t" o:hr="t" fillcolor="#a0a0a0" stroked="f"/>
        </w:pict>
      </w:r>
    </w:p>
    <w:p w14:paraId="00000046" w14:textId="77777777" w:rsidR="00BA056A" w:rsidRDefault="00322DCE">
      <w:pPr>
        <w:pStyle w:val="Heading1"/>
        <w:keepNext w:val="0"/>
        <w:keepLines w:val="0"/>
        <w:spacing w:before="480"/>
        <w:rPr>
          <w:b/>
          <w:bCs/>
          <w:sz w:val="46"/>
          <w:szCs w:val="46"/>
        </w:rPr>
      </w:pPr>
      <w:bookmarkStart w:id="16" w:name="_lc94gfsyovi4" w:colFirst="0" w:colLast="0"/>
      <w:bookmarkEnd w:id="16"/>
      <w:r>
        <w:rPr>
          <w:b/>
          <w:bCs/>
          <w:sz w:val="46"/>
          <w:szCs w:val="46"/>
        </w:rPr>
        <w:t>4. Public Services Case Example</w:t>
      </w:r>
    </w:p>
    <w:p w14:paraId="00000047" w14:textId="77777777" w:rsidR="00BA056A" w:rsidRDefault="00322DCE">
      <w:pPr>
        <w:pStyle w:val="Heading3"/>
        <w:keepNext w:val="0"/>
        <w:keepLines w:val="0"/>
        <w:spacing w:before="280"/>
        <w:rPr>
          <w:b/>
          <w:bCs/>
          <w:color w:val="000000"/>
          <w:sz w:val="26"/>
          <w:szCs w:val="26"/>
        </w:rPr>
      </w:pPr>
      <w:bookmarkStart w:id="17" w:name="_25e715gvjtyp" w:colFirst="0" w:colLast="0"/>
      <w:bookmarkEnd w:id="17"/>
      <w:r>
        <w:rPr>
          <w:b/>
          <w:bCs/>
          <w:color w:val="000000"/>
          <w:sz w:val="26"/>
          <w:szCs w:val="26"/>
        </w:rPr>
        <w:t>Local Government AI Policy Briefing</w:t>
      </w:r>
    </w:p>
    <w:p w14:paraId="00000048" w14:textId="77777777" w:rsidR="00BA056A" w:rsidRDefault="00322DCE">
      <w:pPr>
        <w:pStyle w:val="Heading3"/>
        <w:keepNext w:val="0"/>
        <w:keepLines w:val="0"/>
        <w:spacing w:before="280"/>
        <w:rPr>
          <w:b/>
          <w:bCs/>
          <w:color w:val="000000"/>
          <w:sz w:val="26"/>
          <w:szCs w:val="26"/>
        </w:rPr>
      </w:pPr>
      <w:bookmarkStart w:id="18" w:name="_8thxjqp5xa1y" w:colFirst="0" w:colLast="0"/>
      <w:bookmarkEnd w:id="18"/>
      <w:r>
        <w:rPr>
          <w:b/>
          <w:bCs/>
          <w:color w:val="000000"/>
          <w:sz w:val="26"/>
          <w:szCs w:val="26"/>
        </w:rPr>
        <w:t>Scenario Overview</w:t>
      </w:r>
    </w:p>
    <w:p w14:paraId="00000049" w14:textId="77777777" w:rsidR="00BA056A" w:rsidRDefault="00322DCE">
      <w:pPr>
        <w:spacing w:before="240" w:after="240"/>
      </w:pPr>
      <w:r>
        <w:t>A city council innovation team must prepare a 10-minute policy briefing for elected officials about adopting AI-powered traffic monitoring. They need a rapid, balanced, and transparent overview of opportunities, risks, and governance implications.</w:t>
      </w:r>
    </w:p>
    <w:p w14:paraId="0000004A" w14:textId="77777777" w:rsidR="00BA056A" w:rsidRDefault="00322DCE">
      <w:pPr>
        <w:pStyle w:val="Heading3"/>
        <w:keepNext w:val="0"/>
        <w:keepLines w:val="0"/>
        <w:spacing w:before="280"/>
        <w:rPr>
          <w:b/>
          <w:bCs/>
          <w:color w:val="000000"/>
          <w:sz w:val="26"/>
          <w:szCs w:val="26"/>
        </w:rPr>
      </w:pPr>
      <w:bookmarkStart w:id="19" w:name="_6hckcb2lxaw0" w:colFirst="0" w:colLast="0"/>
      <w:bookmarkEnd w:id="19"/>
      <w:r>
        <w:rPr>
          <w:b/>
          <w:bCs/>
          <w:color w:val="000000"/>
          <w:sz w:val="26"/>
          <w:szCs w:val="26"/>
        </w:rPr>
        <w:t>AI-Enabled Workflow</w:t>
      </w:r>
    </w:p>
    <w:p w14:paraId="0000004B" w14:textId="77777777" w:rsidR="00BA056A" w:rsidRDefault="00322DCE">
      <w:pPr>
        <w:spacing w:before="240" w:after="240"/>
      </w:pPr>
      <w:r>
        <w:rPr>
          <w:b/>
          <w:bCs/>
        </w:rPr>
        <w:t>1. Rapid synthesis of reports</w:t>
      </w:r>
      <w:r>
        <w:rPr>
          <w:b/>
          <w:bCs/>
        </w:rPr>
        <w:br/>
      </w:r>
      <w:r>
        <w:t xml:space="preserve"> AI </w:t>
      </w:r>
      <w:proofErr w:type="spellStart"/>
      <w:r>
        <w:t>summarises</w:t>
      </w:r>
      <w:proofErr w:type="spellEnd"/>
      <w:r>
        <w:t xml:space="preserve"> evidence, policy precedents, and case studies.</w:t>
      </w:r>
    </w:p>
    <w:p w14:paraId="0000004C" w14:textId="77777777" w:rsidR="00BA056A" w:rsidRDefault="00322DCE">
      <w:pPr>
        <w:spacing w:before="240" w:after="240"/>
      </w:pPr>
      <w:r>
        <w:rPr>
          <w:b/>
          <w:bCs/>
        </w:rPr>
        <w:t>2. Stakeholder-specific versions</w:t>
      </w:r>
      <w:r>
        <w:rPr>
          <w:b/>
          <w:bCs/>
        </w:rPr>
        <w:br/>
      </w:r>
      <w:r>
        <w:t xml:space="preserve"> The team generates two briefings:</w:t>
      </w:r>
    </w:p>
    <w:p w14:paraId="0000004D" w14:textId="77777777" w:rsidR="00BA056A" w:rsidRDefault="00322DCE">
      <w:pPr>
        <w:numPr>
          <w:ilvl w:val="0"/>
          <w:numId w:val="5"/>
        </w:numPr>
        <w:spacing w:before="240"/>
      </w:pPr>
      <w:r>
        <w:t>a technical version for engineers</w:t>
      </w:r>
      <w:r>
        <w:br/>
      </w:r>
    </w:p>
    <w:p w14:paraId="0000004E" w14:textId="77777777" w:rsidR="00BA056A" w:rsidRDefault="00322DCE">
      <w:pPr>
        <w:numPr>
          <w:ilvl w:val="0"/>
          <w:numId w:val="5"/>
        </w:numPr>
        <w:spacing w:after="240"/>
      </w:pPr>
      <w:r>
        <w:t>an accessible version for elected officials</w:t>
      </w:r>
      <w:r>
        <w:br/>
      </w:r>
    </w:p>
    <w:p w14:paraId="0000004F" w14:textId="77777777" w:rsidR="00BA056A" w:rsidRDefault="00322DCE">
      <w:pPr>
        <w:spacing w:before="240" w:after="240"/>
      </w:pPr>
      <w:r>
        <w:rPr>
          <w:b/>
          <w:bCs/>
        </w:rPr>
        <w:lastRenderedPageBreak/>
        <w:t>3. Ethics and governance review</w:t>
      </w:r>
      <w:r>
        <w:rPr>
          <w:b/>
          <w:bCs/>
        </w:rPr>
        <w:br/>
      </w:r>
      <w:r>
        <w:t xml:space="preserve"> AI highlights surveillance risks, bias concerns, and public trust issues; legal teams validate compliance.</w:t>
      </w:r>
    </w:p>
    <w:p w14:paraId="00000050" w14:textId="77777777" w:rsidR="00BA056A" w:rsidRDefault="00322DCE">
      <w:pPr>
        <w:spacing w:before="240" w:after="240"/>
      </w:pPr>
      <w:r>
        <w:rPr>
          <w:b/>
          <w:bCs/>
        </w:rPr>
        <w:t>4. Post-briefing learning</w:t>
      </w:r>
      <w:r>
        <w:rPr>
          <w:b/>
          <w:bCs/>
        </w:rPr>
        <w:br/>
      </w:r>
      <w:r>
        <w:t xml:space="preserve"> The team identifies which AI-generated sections worked and where human framing was essential.</w:t>
      </w:r>
    </w:p>
    <w:p w14:paraId="00000051" w14:textId="77777777" w:rsidR="00BA056A" w:rsidRDefault="00322DCE">
      <w:pPr>
        <w:pStyle w:val="Heading3"/>
        <w:keepNext w:val="0"/>
        <w:keepLines w:val="0"/>
        <w:spacing w:before="280"/>
        <w:rPr>
          <w:b/>
          <w:bCs/>
          <w:color w:val="000000"/>
          <w:sz w:val="26"/>
          <w:szCs w:val="26"/>
        </w:rPr>
      </w:pPr>
      <w:bookmarkStart w:id="20" w:name="_4rhyy6o58950" w:colFirst="0" w:colLast="0"/>
      <w:bookmarkEnd w:id="20"/>
      <w:r>
        <w:rPr>
          <w:b/>
          <w:bCs/>
          <w:color w:val="000000"/>
          <w:sz w:val="26"/>
          <w:szCs w:val="26"/>
        </w:rPr>
        <w:t>Framework Domains in Action</w:t>
      </w:r>
    </w:p>
    <w:p w14:paraId="00000052" w14:textId="77777777" w:rsidR="00BA056A" w:rsidRDefault="00322DCE">
      <w:pPr>
        <w:numPr>
          <w:ilvl w:val="0"/>
          <w:numId w:val="2"/>
        </w:numPr>
        <w:spacing w:before="240"/>
      </w:pPr>
      <w:r>
        <w:rPr>
          <w:b/>
          <w:bCs/>
        </w:rPr>
        <w:t>AI Awareness &amp; Orientation</w:t>
      </w:r>
      <w:r>
        <w:rPr>
          <w:b/>
          <w:bCs/>
        </w:rPr>
        <w:br/>
      </w:r>
      <w:r>
        <w:t xml:space="preserve"> Staff interrogate assumptions in AI summaries.</w:t>
      </w:r>
      <w:r>
        <w:br/>
      </w:r>
    </w:p>
    <w:p w14:paraId="00000053" w14:textId="77777777" w:rsidR="00BA056A" w:rsidRDefault="00322DCE">
      <w:pPr>
        <w:numPr>
          <w:ilvl w:val="0"/>
          <w:numId w:val="2"/>
        </w:numPr>
      </w:pPr>
      <w:r>
        <w:rPr>
          <w:b/>
          <w:bCs/>
        </w:rPr>
        <w:t>Human–AI Co-Agency</w:t>
      </w:r>
      <w:r>
        <w:rPr>
          <w:b/>
          <w:bCs/>
        </w:rPr>
        <w:br/>
      </w:r>
      <w:r>
        <w:t xml:space="preserve"> Humans shape tone, framing, and political sensitivity.</w:t>
      </w:r>
      <w:r>
        <w:br/>
      </w:r>
    </w:p>
    <w:p w14:paraId="00000054" w14:textId="77777777" w:rsidR="00BA056A" w:rsidRDefault="00322DCE">
      <w:pPr>
        <w:numPr>
          <w:ilvl w:val="0"/>
          <w:numId w:val="2"/>
        </w:numPr>
      </w:pPr>
      <w:r>
        <w:rPr>
          <w:b/>
          <w:bCs/>
        </w:rPr>
        <w:t>Generative Practice &amp; Innovation</w:t>
      </w:r>
      <w:r>
        <w:rPr>
          <w:b/>
          <w:bCs/>
        </w:rPr>
        <w:br/>
      </w:r>
      <w:r>
        <w:t xml:space="preserve"> AI accelerates discovery and comparative analysis.</w:t>
      </w:r>
      <w:r>
        <w:br/>
      </w:r>
    </w:p>
    <w:p w14:paraId="00000055" w14:textId="77777777" w:rsidR="00BA056A" w:rsidRDefault="00322DCE">
      <w:pPr>
        <w:numPr>
          <w:ilvl w:val="0"/>
          <w:numId w:val="2"/>
        </w:numPr>
      </w:pPr>
      <w:r>
        <w:rPr>
          <w:b/>
          <w:bCs/>
        </w:rPr>
        <w:t>Ethics, Equity &amp; Impact</w:t>
      </w:r>
      <w:r>
        <w:rPr>
          <w:b/>
          <w:bCs/>
        </w:rPr>
        <w:br/>
      </w:r>
      <w:r>
        <w:t xml:space="preserve"> Community impacts, privacy concerns, and potential harms are evaluated.</w:t>
      </w:r>
      <w:r>
        <w:br/>
      </w:r>
    </w:p>
    <w:p w14:paraId="00000056" w14:textId="77777777" w:rsidR="00BA056A" w:rsidRDefault="00322DCE">
      <w:pPr>
        <w:numPr>
          <w:ilvl w:val="0"/>
          <w:numId w:val="2"/>
        </w:numPr>
      </w:pPr>
      <w:r>
        <w:rPr>
          <w:b/>
          <w:bCs/>
        </w:rPr>
        <w:t>Decision-Making &amp; Governance</w:t>
      </w:r>
      <w:r>
        <w:rPr>
          <w:b/>
          <w:bCs/>
        </w:rPr>
        <w:br/>
      </w:r>
      <w:r>
        <w:t xml:space="preserve"> Oversight and compliance checks inform the final recommendation.</w:t>
      </w:r>
      <w:r>
        <w:br/>
      </w:r>
    </w:p>
    <w:p w14:paraId="00000057" w14:textId="77777777" w:rsidR="00BA056A" w:rsidRDefault="00322DCE">
      <w:pPr>
        <w:numPr>
          <w:ilvl w:val="0"/>
          <w:numId w:val="2"/>
        </w:numPr>
        <w:spacing w:after="240"/>
      </w:pPr>
      <w:r>
        <w:rPr>
          <w:b/>
          <w:bCs/>
        </w:rPr>
        <w:t>Reflection, Learning &amp; Renewal</w:t>
      </w:r>
      <w:r>
        <w:rPr>
          <w:b/>
          <w:bCs/>
        </w:rPr>
        <w:br/>
      </w:r>
      <w:r>
        <w:t xml:space="preserve"> Lessons improve future policy-briefing workflows.</w:t>
      </w:r>
      <w:r>
        <w:br/>
      </w:r>
    </w:p>
    <w:p w14:paraId="00000058" w14:textId="77777777" w:rsidR="00BA056A" w:rsidRDefault="00322DCE">
      <w:pPr>
        <w:pStyle w:val="Heading3"/>
        <w:keepNext w:val="0"/>
        <w:keepLines w:val="0"/>
        <w:spacing w:before="280"/>
        <w:rPr>
          <w:b/>
          <w:bCs/>
          <w:color w:val="000000"/>
          <w:sz w:val="26"/>
          <w:szCs w:val="26"/>
        </w:rPr>
      </w:pPr>
      <w:bookmarkStart w:id="21" w:name="_vylv32evjbhi" w:colFirst="0" w:colLast="0"/>
      <w:bookmarkEnd w:id="21"/>
      <w:r>
        <w:rPr>
          <w:b/>
          <w:bCs/>
          <w:color w:val="000000"/>
          <w:sz w:val="26"/>
          <w:szCs w:val="26"/>
        </w:rPr>
        <w:t>Lessons Learned</w:t>
      </w:r>
    </w:p>
    <w:p w14:paraId="00000059" w14:textId="77777777" w:rsidR="00BA056A" w:rsidRDefault="00322DCE">
      <w:pPr>
        <w:numPr>
          <w:ilvl w:val="0"/>
          <w:numId w:val="11"/>
        </w:numPr>
        <w:spacing w:before="240"/>
      </w:pPr>
      <w:r>
        <w:t>AI speeds up briefing preparation but cannot substitute political judgement.</w:t>
      </w:r>
      <w:r>
        <w:br/>
      </w:r>
    </w:p>
    <w:p w14:paraId="0000005A" w14:textId="77777777" w:rsidR="00BA056A" w:rsidRDefault="00322DCE">
      <w:pPr>
        <w:numPr>
          <w:ilvl w:val="0"/>
          <w:numId w:val="11"/>
        </w:numPr>
      </w:pPr>
      <w:r>
        <w:t>Transparency about system use increases trust with elected officials.</w:t>
      </w:r>
      <w:r>
        <w:br/>
      </w:r>
    </w:p>
    <w:p w14:paraId="0000005B" w14:textId="77777777" w:rsidR="00BA056A" w:rsidRDefault="00322DCE">
      <w:pPr>
        <w:numPr>
          <w:ilvl w:val="0"/>
          <w:numId w:val="11"/>
        </w:numPr>
        <w:spacing w:after="240"/>
      </w:pPr>
      <w:r>
        <w:t>Ethical and governance reviews must occur early, not at the end.</w:t>
      </w:r>
      <w:r>
        <w:br/>
      </w:r>
    </w:p>
    <w:p w14:paraId="0000005C" w14:textId="77777777" w:rsidR="00BA056A" w:rsidRDefault="00322DCE">
      <w:pPr>
        <w:pStyle w:val="Heading3"/>
        <w:keepNext w:val="0"/>
        <w:keepLines w:val="0"/>
        <w:spacing w:before="280"/>
        <w:rPr>
          <w:b/>
          <w:bCs/>
          <w:color w:val="000000"/>
          <w:sz w:val="26"/>
          <w:szCs w:val="26"/>
        </w:rPr>
      </w:pPr>
      <w:bookmarkStart w:id="22" w:name="_1kckjyxmtu2d" w:colFirst="0" w:colLast="0"/>
      <w:bookmarkEnd w:id="22"/>
      <w:r>
        <w:rPr>
          <w:b/>
          <w:bCs/>
          <w:color w:val="000000"/>
          <w:sz w:val="26"/>
          <w:szCs w:val="26"/>
        </w:rPr>
        <w:t>Suggested Adaptation</w:t>
      </w:r>
    </w:p>
    <w:p w14:paraId="0000005D" w14:textId="77777777" w:rsidR="00BA056A" w:rsidRDefault="00322DCE">
      <w:pPr>
        <w:spacing w:before="240" w:after="240"/>
      </w:pPr>
      <w:r>
        <w:t>Apply this workflow to procurement briefings, public consultations, or strategic planning documents.</w:t>
      </w:r>
    </w:p>
    <w:p w14:paraId="0000005E" w14:textId="77777777" w:rsidR="00BA056A" w:rsidRDefault="00BE4A8D">
      <w:r>
        <w:rPr>
          <w:noProof/>
        </w:rPr>
        <w:pict w14:anchorId="024E5ABB">
          <v:rect id="_x0000_i1027" alt="" style="width:451.3pt;height:.05pt;mso-width-percent:0;mso-height-percent:0;mso-width-percent:0;mso-height-percent:0" o:hralign="center" o:hrstd="t" o:hr="t" fillcolor="#a0a0a0" stroked="f"/>
        </w:pict>
      </w:r>
    </w:p>
    <w:p w14:paraId="0000005F" w14:textId="77777777" w:rsidR="00BA056A" w:rsidRDefault="00322DCE">
      <w:pPr>
        <w:pStyle w:val="Heading1"/>
        <w:keepNext w:val="0"/>
        <w:keepLines w:val="0"/>
        <w:spacing w:before="480"/>
        <w:rPr>
          <w:b/>
          <w:bCs/>
          <w:sz w:val="46"/>
          <w:szCs w:val="46"/>
        </w:rPr>
      </w:pPr>
      <w:bookmarkStart w:id="23" w:name="_j6uecs2y48fu" w:colFirst="0" w:colLast="0"/>
      <w:bookmarkEnd w:id="23"/>
      <w:r>
        <w:rPr>
          <w:b/>
          <w:bCs/>
          <w:sz w:val="46"/>
          <w:szCs w:val="46"/>
        </w:rPr>
        <w:lastRenderedPageBreak/>
        <w:t>5. How to Use This Case Pack</w:t>
      </w:r>
    </w:p>
    <w:p w14:paraId="00000060" w14:textId="77777777" w:rsidR="00BA056A" w:rsidRDefault="00322DCE">
      <w:pPr>
        <w:spacing w:before="240" w:after="240"/>
      </w:pPr>
      <w:r>
        <w:t>Use cases as:</w:t>
      </w:r>
    </w:p>
    <w:p w14:paraId="00000061" w14:textId="77777777" w:rsidR="00BA056A" w:rsidRDefault="00322DCE">
      <w:pPr>
        <w:numPr>
          <w:ilvl w:val="0"/>
          <w:numId w:val="3"/>
        </w:numPr>
        <w:spacing w:before="240"/>
      </w:pPr>
      <w:r>
        <w:t>Workshop scenarios</w:t>
      </w:r>
      <w:r>
        <w:br/>
      </w:r>
    </w:p>
    <w:p w14:paraId="00000062" w14:textId="77777777" w:rsidR="00BA056A" w:rsidRDefault="00322DCE">
      <w:pPr>
        <w:numPr>
          <w:ilvl w:val="0"/>
          <w:numId w:val="3"/>
        </w:numPr>
      </w:pPr>
      <w:r>
        <w:t>Discussion starters</w:t>
      </w:r>
      <w:r>
        <w:br/>
      </w:r>
    </w:p>
    <w:p w14:paraId="00000063" w14:textId="77777777" w:rsidR="00BA056A" w:rsidRDefault="00322DCE">
      <w:pPr>
        <w:numPr>
          <w:ilvl w:val="0"/>
          <w:numId w:val="3"/>
        </w:numPr>
      </w:pPr>
      <w:r>
        <w:t>Teaching materials</w:t>
      </w:r>
      <w:r>
        <w:br/>
      </w:r>
    </w:p>
    <w:p w14:paraId="00000064" w14:textId="77777777" w:rsidR="00BA056A" w:rsidRDefault="00322DCE">
      <w:pPr>
        <w:numPr>
          <w:ilvl w:val="0"/>
          <w:numId w:val="3"/>
        </w:numPr>
      </w:pPr>
      <w:r>
        <w:t>Risk-analysis exercises</w:t>
      </w:r>
      <w:r>
        <w:br/>
      </w:r>
    </w:p>
    <w:p w14:paraId="00000065" w14:textId="77777777" w:rsidR="00BA056A" w:rsidRDefault="00322DCE">
      <w:pPr>
        <w:numPr>
          <w:ilvl w:val="0"/>
          <w:numId w:val="3"/>
        </w:numPr>
        <w:spacing w:after="240"/>
      </w:pPr>
      <w:r>
        <w:t>Templates for redesigning your own workflows</w:t>
      </w:r>
      <w:r>
        <w:br/>
      </w:r>
    </w:p>
    <w:p w14:paraId="00000066" w14:textId="77777777" w:rsidR="00BA056A" w:rsidRDefault="00322DCE">
      <w:pPr>
        <w:spacing w:before="240" w:after="240"/>
      </w:pPr>
      <w:r>
        <w:t xml:space="preserve">You may adapt, expand, or integrate these examples into </w:t>
      </w:r>
      <w:proofErr w:type="spellStart"/>
      <w:r>
        <w:t>organisational</w:t>
      </w:r>
      <w:proofErr w:type="spellEnd"/>
      <w:r>
        <w:t xml:space="preserve"> documents, governance packs, or capability-building sessions.</w:t>
      </w:r>
    </w:p>
    <w:p w14:paraId="00000067" w14:textId="77777777" w:rsidR="00BA056A" w:rsidRDefault="00BE4A8D">
      <w:r>
        <w:rPr>
          <w:noProof/>
        </w:rPr>
        <w:pict w14:anchorId="229C317B">
          <v:rect id="_x0000_i1026" alt="" style="width:451.3pt;height:.05pt;mso-width-percent:0;mso-height-percent:0;mso-width-percent:0;mso-height-percent:0" o:hralign="center" o:hrstd="t" o:hr="t" fillcolor="#a0a0a0" stroked="f"/>
        </w:pict>
      </w:r>
    </w:p>
    <w:p w14:paraId="00000068" w14:textId="77777777" w:rsidR="00BA056A" w:rsidRDefault="00322DCE">
      <w:pPr>
        <w:pStyle w:val="Heading1"/>
        <w:keepNext w:val="0"/>
        <w:keepLines w:val="0"/>
        <w:spacing w:before="480"/>
        <w:rPr>
          <w:b/>
          <w:bCs/>
          <w:sz w:val="46"/>
          <w:szCs w:val="46"/>
        </w:rPr>
      </w:pPr>
      <w:bookmarkStart w:id="24" w:name="_hra25cz4jpz3" w:colFirst="0" w:colLast="0"/>
      <w:bookmarkEnd w:id="24"/>
      <w:r>
        <w:rPr>
          <w:b/>
          <w:bCs/>
          <w:sz w:val="46"/>
          <w:szCs w:val="46"/>
        </w:rPr>
        <w:t>6. Licensing</w:t>
      </w:r>
    </w:p>
    <w:p w14:paraId="00000069" w14:textId="77777777" w:rsidR="00BA056A" w:rsidRDefault="00322DCE">
      <w:pPr>
        <w:spacing w:before="240" w:after="240"/>
        <w:rPr>
          <w:i/>
          <w:iCs/>
        </w:rPr>
      </w:pPr>
      <w:r>
        <w:t xml:space="preserve">© 2026 </w:t>
      </w:r>
      <w:proofErr w:type="spellStart"/>
      <w:r>
        <w:t>CloudPedagogy</w:t>
      </w:r>
      <w:proofErr w:type="spellEnd"/>
      <w:r>
        <w:t xml:space="preserve">. Licensed under </w:t>
      </w:r>
      <w:r>
        <w:rPr>
          <w:b/>
          <w:bCs/>
        </w:rPr>
        <w:t>CC BY-NC-SA 4.0</w:t>
      </w:r>
      <w:r>
        <w:t>.</w:t>
      </w:r>
      <w:r>
        <w:br/>
        <w:t xml:space="preserve"> Wong, J. (2026). </w:t>
      </w:r>
      <w:proofErr w:type="spellStart"/>
      <w:r>
        <w:rPr>
          <w:i/>
          <w:iCs/>
        </w:rPr>
        <w:t>CloudPedagogy</w:t>
      </w:r>
      <w:proofErr w:type="spellEnd"/>
      <w:r>
        <w:rPr>
          <w:i/>
          <w:iCs/>
        </w:rPr>
        <w:t xml:space="preserve"> AI Capability Framework – Applied Examples.</w:t>
      </w:r>
    </w:p>
    <w:p w14:paraId="0000006A" w14:textId="77777777" w:rsidR="00BA056A" w:rsidRDefault="00BE4A8D">
      <w:r>
        <w:rPr>
          <w:noProof/>
        </w:rPr>
        <w:pict w14:anchorId="78749AC6">
          <v:rect id="_x0000_i1025" alt="" style="width:451.3pt;height:.05pt;mso-width-percent:0;mso-height-percent:0;mso-width-percent:0;mso-height-percent:0" o:hralign="center" o:hrstd="t" o:hr="t" fillcolor="#a0a0a0" stroked="f"/>
        </w:pict>
      </w:r>
    </w:p>
    <w:p w14:paraId="0000006B" w14:textId="77777777" w:rsidR="00BA056A" w:rsidRDefault="00322DCE">
      <w:pPr>
        <w:pStyle w:val="Heading1"/>
        <w:keepNext w:val="0"/>
        <w:keepLines w:val="0"/>
        <w:spacing w:before="480"/>
        <w:rPr>
          <w:b/>
          <w:bCs/>
          <w:sz w:val="46"/>
          <w:szCs w:val="46"/>
        </w:rPr>
      </w:pPr>
      <w:bookmarkStart w:id="25" w:name="_4a65vgc346sl" w:colFirst="0" w:colLast="0"/>
      <w:bookmarkEnd w:id="25"/>
      <w:r>
        <w:rPr>
          <w:b/>
          <w:bCs/>
          <w:sz w:val="46"/>
          <w:szCs w:val="46"/>
        </w:rPr>
        <w:t>End of Applied Examples Case Pack</w:t>
      </w:r>
    </w:p>
    <w:p w14:paraId="0000006C" w14:textId="77777777" w:rsidR="00BA056A" w:rsidRDefault="00BA056A"/>
    <w:sectPr w:rsidR="00BA056A">
      <w:foot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6ACB557" w14:textId="77777777" w:rsidR="00BE4A8D" w:rsidRDefault="00BE4A8D" w:rsidP="00322DCE">
      <w:pPr>
        <w:spacing w:line="240" w:lineRule="auto"/>
      </w:pPr>
      <w:r>
        <w:separator/>
      </w:r>
    </w:p>
  </w:endnote>
  <w:endnote w:type="continuationSeparator" w:id="0">
    <w:p w14:paraId="57D99F69" w14:textId="77777777" w:rsidR="00BE4A8D" w:rsidRDefault="00BE4A8D" w:rsidP="00322DC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embedRegular r:id="rId1" w:fontKey="{C8BD9156-1D1F-0440-AAEC-F89833BDD180}"/>
  </w:font>
  <w:font w:name="Arial">
    <w:panose1 w:val="020B0604020202020204"/>
    <w:charset w:val="00"/>
    <w:family w:val="swiss"/>
    <w:pitch w:val="variable"/>
    <w:sig w:usb0="E0002EFF" w:usb1="C000785B" w:usb2="00000009" w:usb3="00000000" w:csb0="000001FF" w:csb1="00000000"/>
    <w:embedRegular r:id="rId2" w:fontKey="{59683E73-484E-5149-9F90-1093F2013F13}"/>
    <w:embedBold r:id="rId3" w:fontKey="{BCE825F7-1EFC-DE41-9FD4-22568E47AE7C}"/>
    <w:embedItalic r:id="rId4" w:fontKey="{71D99574-4D37-DE4B-B965-0C593EEB48D2}"/>
  </w:font>
  <w:font w:name="Calibri">
    <w:panose1 w:val="020F0502020204030204"/>
    <w:charset w:val="00"/>
    <w:family w:val="swiss"/>
    <w:pitch w:val="variable"/>
    <w:sig w:usb0="E4002EFF" w:usb1="C200247B" w:usb2="00000009" w:usb3="00000000" w:csb0="000001FF" w:csb1="00000000"/>
    <w:embedRegular r:id="rId5" w:fontKey="{3911790A-B995-6E4E-B04E-959341D10B89}"/>
  </w:font>
  <w:font w:name="Cambria">
    <w:panose1 w:val="02040503050406030204"/>
    <w:charset w:val="00"/>
    <w:family w:val="roman"/>
    <w:pitch w:val="variable"/>
    <w:sig w:usb0="E00002FF" w:usb1="400004FF" w:usb2="00000000" w:usb3="00000000" w:csb0="0000019F" w:csb1="00000000"/>
    <w:embedRegular r:id="rId6" w:fontKey="{ADE85E8C-14CF-8345-94A0-629C26A0FE9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DC773F" w14:textId="4A7A5DDF" w:rsidR="00322DCE" w:rsidRPr="00322DCE" w:rsidRDefault="00322DCE">
    <w:pPr>
      <w:pStyle w:val="Footer"/>
      <w:rPr>
        <w:sz w:val="18"/>
        <w:szCs w:val="18"/>
      </w:rPr>
    </w:pPr>
    <w:proofErr w:type="spellStart"/>
    <w:r w:rsidRPr="00322DCE">
      <w:rPr>
        <w:sz w:val="18"/>
        <w:szCs w:val="18"/>
      </w:rPr>
      <w:t>CloudPedagogy</w:t>
    </w:r>
    <w:proofErr w:type="spellEnd"/>
    <w:r w:rsidRPr="00322DCE">
      <w:rPr>
        <w:sz w:val="18"/>
        <w:szCs w:val="18"/>
      </w:rPr>
      <w:t xml:space="preserve"> — AI Capability Framework (2026 Edition)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39B9F2A" w14:textId="77777777" w:rsidR="00BE4A8D" w:rsidRDefault="00BE4A8D" w:rsidP="00322DCE">
      <w:pPr>
        <w:spacing w:line="240" w:lineRule="auto"/>
      </w:pPr>
      <w:r>
        <w:separator/>
      </w:r>
    </w:p>
  </w:footnote>
  <w:footnote w:type="continuationSeparator" w:id="0">
    <w:p w14:paraId="600DBBAC" w14:textId="77777777" w:rsidR="00BE4A8D" w:rsidRDefault="00BE4A8D" w:rsidP="00322DC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1013E2"/>
    <w:multiLevelType w:val="multilevel"/>
    <w:tmpl w:val="0214F1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BFE02CB"/>
    <w:multiLevelType w:val="multilevel"/>
    <w:tmpl w:val="CBC869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E0273E4"/>
    <w:multiLevelType w:val="multilevel"/>
    <w:tmpl w:val="951CC6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7D973FB"/>
    <w:multiLevelType w:val="multilevel"/>
    <w:tmpl w:val="6B3A2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30956E9"/>
    <w:multiLevelType w:val="multilevel"/>
    <w:tmpl w:val="DC08A3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75B12EB"/>
    <w:multiLevelType w:val="multilevel"/>
    <w:tmpl w:val="DBA008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1F965D6"/>
    <w:multiLevelType w:val="multilevel"/>
    <w:tmpl w:val="3B8CC4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8D4536F"/>
    <w:multiLevelType w:val="multilevel"/>
    <w:tmpl w:val="40685C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6F671C3C"/>
    <w:multiLevelType w:val="multilevel"/>
    <w:tmpl w:val="9B9E65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517471F"/>
    <w:multiLevelType w:val="multilevel"/>
    <w:tmpl w:val="5B347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E8474ED"/>
    <w:multiLevelType w:val="multilevel"/>
    <w:tmpl w:val="E806E8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55916577">
    <w:abstractNumId w:val="8"/>
  </w:num>
  <w:num w:numId="2" w16cid:durableId="998927325">
    <w:abstractNumId w:val="4"/>
  </w:num>
  <w:num w:numId="3" w16cid:durableId="957225723">
    <w:abstractNumId w:val="1"/>
  </w:num>
  <w:num w:numId="4" w16cid:durableId="736241246">
    <w:abstractNumId w:val="9"/>
  </w:num>
  <w:num w:numId="5" w16cid:durableId="439840209">
    <w:abstractNumId w:val="0"/>
  </w:num>
  <w:num w:numId="6" w16cid:durableId="1037438522">
    <w:abstractNumId w:val="10"/>
  </w:num>
  <w:num w:numId="7" w16cid:durableId="1391078475">
    <w:abstractNumId w:val="2"/>
  </w:num>
  <w:num w:numId="8" w16cid:durableId="1264802049">
    <w:abstractNumId w:val="7"/>
  </w:num>
  <w:num w:numId="9" w16cid:durableId="1813018924">
    <w:abstractNumId w:val="3"/>
  </w:num>
  <w:num w:numId="10" w16cid:durableId="545217056">
    <w:abstractNumId w:val="6"/>
  </w:num>
  <w:num w:numId="11" w16cid:durableId="79575866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056A"/>
    <w:rsid w:val="00322DCE"/>
    <w:rsid w:val="003E1E08"/>
    <w:rsid w:val="00812978"/>
    <w:rsid w:val="0091265A"/>
    <w:rsid w:val="00B41976"/>
    <w:rsid w:val="00BA056A"/>
    <w:rsid w:val="00BE4A8D"/>
    <w:rsid w:val="00F932F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80341"/>
  <w15:docId w15:val="{922BCD7F-2A5F-4340-9710-0705A80F7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322DCE"/>
    <w:pPr>
      <w:tabs>
        <w:tab w:val="center" w:pos="4513"/>
        <w:tab w:val="right" w:pos="9026"/>
      </w:tabs>
      <w:spacing w:line="240" w:lineRule="auto"/>
    </w:pPr>
  </w:style>
  <w:style w:type="character" w:customStyle="1" w:styleId="HeaderChar">
    <w:name w:val="Header Char"/>
    <w:basedOn w:val="DefaultParagraphFont"/>
    <w:link w:val="Header"/>
    <w:uiPriority w:val="99"/>
    <w:rsid w:val="00322DCE"/>
  </w:style>
  <w:style w:type="paragraph" w:styleId="Footer">
    <w:name w:val="footer"/>
    <w:basedOn w:val="Normal"/>
    <w:link w:val="FooterChar"/>
    <w:uiPriority w:val="99"/>
    <w:unhideWhenUsed/>
    <w:rsid w:val="00322DCE"/>
    <w:pPr>
      <w:tabs>
        <w:tab w:val="center" w:pos="4513"/>
        <w:tab w:val="right" w:pos="9026"/>
      </w:tabs>
      <w:spacing w:line="240" w:lineRule="auto"/>
    </w:pPr>
  </w:style>
  <w:style w:type="character" w:customStyle="1" w:styleId="FooterChar">
    <w:name w:val="Footer Char"/>
    <w:basedOn w:val="DefaultParagraphFont"/>
    <w:link w:val="Footer"/>
    <w:uiPriority w:val="99"/>
    <w:rsid w:val="00322D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1044</Words>
  <Characters>5956</Characters>
  <Application>Microsoft Office Word</Application>
  <DocSecurity>0</DocSecurity>
  <Lines>49</Lines>
  <Paragraphs>13</Paragraphs>
  <ScaleCrop>false</ScaleCrop>
  <Company/>
  <LinksUpToDate>false</LinksUpToDate>
  <CharactersWithSpaces>6987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Jon Wong</cp:lastModifiedBy>
  <cp:revision>4</cp:revision>
  <dcterms:created xsi:type="dcterms:W3CDTF">2025-11-29T15:18:00Z</dcterms:created>
  <dcterms:modified xsi:type="dcterms:W3CDTF">2025-12-09T23:17:00Z</dcterms:modified>
</cp:coreProperties>
</file>