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545EE" w14:textId="77777777" w:rsidR="00D74025" w:rsidRPr="00D74025" w:rsidRDefault="00D74025" w:rsidP="00D74025">
      <w:pPr>
        <w:rPr>
          <w:rFonts w:ascii="Calibri" w:hAnsi="Calibri" w:cs="Calibri"/>
          <w:b/>
          <w:bCs/>
        </w:rPr>
      </w:pPr>
      <w:r w:rsidRPr="00D74025">
        <w:rPr>
          <w:rFonts w:ascii="Calibri" w:hAnsi="Calibri" w:cs="Calibri"/>
          <w:b/>
          <w:bCs/>
        </w:rPr>
        <w:t>Reporting and Public Health Action</w:t>
      </w:r>
    </w:p>
    <w:p w14:paraId="2D58BAC4" w14:textId="77777777" w:rsidR="00D74025" w:rsidRPr="00D74025" w:rsidRDefault="00D74025" w:rsidP="00D74025">
      <w:pPr>
        <w:rPr>
          <w:rFonts w:ascii="Calibri" w:hAnsi="Calibri" w:cs="Calibri"/>
          <w:b/>
          <w:bCs/>
        </w:rPr>
      </w:pPr>
      <w:r w:rsidRPr="00D74025">
        <w:rPr>
          <w:rFonts w:ascii="Calibri" w:hAnsi="Calibri" w:cs="Calibri"/>
          <w:b/>
          <w:bCs/>
        </w:rPr>
        <w:t>Introduction</w:t>
      </w:r>
    </w:p>
    <w:p w14:paraId="4001BBFB" w14:textId="77777777" w:rsidR="00D74025" w:rsidRPr="00D74025" w:rsidRDefault="00D74025" w:rsidP="00D74025">
      <w:pPr>
        <w:rPr>
          <w:rFonts w:ascii="Calibri" w:hAnsi="Calibri" w:cs="Calibri"/>
        </w:rPr>
      </w:pPr>
      <w:r w:rsidRPr="00D74025">
        <w:rPr>
          <w:rFonts w:ascii="Calibri" w:hAnsi="Calibri" w:cs="Calibri"/>
        </w:rPr>
        <w:t>Reporting is a central component of outbreak investigation and public health response. Once data has been collected, analysed, and interpreted, findings must be communicated clearly to support timely decision-making and coordinated action. Effective reporting allows public health authorities, healthcare systems, governments, and communities to understand the situation and respond appropriately.</w:t>
      </w:r>
    </w:p>
    <w:p w14:paraId="1D9570AA" w14:textId="77777777" w:rsidR="00D74025" w:rsidRPr="00D74025" w:rsidRDefault="00D74025" w:rsidP="00D74025">
      <w:pPr>
        <w:rPr>
          <w:rFonts w:ascii="Calibri" w:hAnsi="Calibri" w:cs="Calibri"/>
        </w:rPr>
      </w:pPr>
      <w:r w:rsidRPr="00D74025">
        <w:rPr>
          <w:rFonts w:ascii="Calibri" w:hAnsi="Calibri" w:cs="Calibri"/>
        </w:rPr>
        <w:t>Public health reporting serves several important purposes. It documents the progression of an outbreak, identifies populations at risk, communicates evidence about transmission patterns, and supports the implementation of control measures. Reporting also contributes to accountability, transparency, surveillance, and long-term learning.</w:t>
      </w:r>
    </w:p>
    <w:p w14:paraId="090FF37E" w14:textId="77777777" w:rsidR="00D74025" w:rsidRPr="00D74025" w:rsidRDefault="00D74025" w:rsidP="00D74025">
      <w:pPr>
        <w:rPr>
          <w:rFonts w:ascii="Calibri" w:hAnsi="Calibri" w:cs="Calibri"/>
        </w:rPr>
      </w:pPr>
      <w:r w:rsidRPr="00D74025">
        <w:rPr>
          <w:rFonts w:ascii="Calibri" w:hAnsi="Calibri" w:cs="Calibri"/>
        </w:rPr>
        <w:t>During outbreaks, reporting often occurs under conditions of uncertainty and urgency. Information may change rapidly as new evidence becomes available. Public health professionals must therefore balance speed with accuracy while communicating findings responsibly and clearly.</w:t>
      </w:r>
    </w:p>
    <w:p w14:paraId="43FCD20F" w14:textId="77777777" w:rsidR="00D74025" w:rsidRPr="00D74025" w:rsidRDefault="00D74025" w:rsidP="00D74025">
      <w:pPr>
        <w:rPr>
          <w:rFonts w:ascii="Calibri" w:hAnsi="Calibri" w:cs="Calibri"/>
        </w:rPr>
      </w:pPr>
      <w:r w:rsidRPr="00D74025">
        <w:rPr>
          <w:rFonts w:ascii="Calibri" w:hAnsi="Calibri" w:cs="Calibri"/>
        </w:rPr>
        <w:t>Public health action refers to the interventions and decisions implemented in response to outbreak findings. These actions may include surveillance measures, testing strategies, vaccination campaigns, infection prevention measures, public communication, travel guidance, healthcare system coordination, or policy interventions.</w:t>
      </w:r>
    </w:p>
    <w:p w14:paraId="55136682" w14:textId="77777777" w:rsidR="00D74025" w:rsidRPr="00D74025" w:rsidRDefault="00D74025" w:rsidP="00D74025">
      <w:pPr>
        <w:rPr>
          <w:rFonts w:ascii="Calibri" w:hAnsi="Calibri" w:cs="Calibri"/>
        </w:rPr>
      </w:pPr>
      <w:r w:rsidRPr="00D74025">
        <w:rPr>
          <w:rFonts w:ascii="Calibri" w:hAnsi="Calibri" w:cs="Calibri"/>
        </w:rPr>
        <w:t>Reporting and action are closely connected. Data without action has limited value, while action without evidence may be ineffective or harmful. Together, reporting and public health action form the operational core of outbreak response.</w:t>
      </w:r>
    </w:p>
    <w:p w14:paraId="645079FE" w14:textId="77777777" w:rsidR="00D74025" w:rsidRPr="00D74025" w:rsidRDefault="003B0CCB" w:rsidP="00D74025">
      <w:pPr>
        <w:rPr>
          <w:rFonts w:ascii="Calibri" w:hAnsi="Calibri" w:cs="Calibri"/>
        </w:rPr>
      </w:pPr>
      <w:r w:rsidRPr="00D74025">
        <w:rPr>
          <w:rFonts w:ascii="Calibri" w:hAnsi="Calibri" w:cs="Calibri"/>
          <w:noProof/>
        </w:rPr>
        <w:pict w14:anchorId="4D41424A">
          <v:rect id="_x0000_i1102" alt="" style="width:451.3pt;height:.05pt;mso-width-percent:0;mso-height-percent:0;mso-width-percent:0;mso-height-percent:0" o:hralign="center" o:hrstd="t" o:hr="t" fillcolor="#a0a0a0" stroked="f"/>
        </w:pict>
      </w:r>
    </w:p>
    <w:p w14:paraId="7E64ED45" w14:textId="77777777" w:rsidR="00D74025" w:rsidRPr="00D74025" w:rsidRDefault="00D74025" w:rsidP="00D74025">
      <w:pPr>
        <w:rPr>
          <w:rFonts w:ascii="Calibri" w:hAnsi="Calibri" w:cs="Calibri"/>
          <w:b/>
          <w:bCs/>
        </w:rPr>
      </w:pPr>
      <w:r w:rsidRPr="00D74025">
        <w:rPr>
          <w:rFonts w:ascii="Calibri" w:hAnsi="Calibri" w:cs="Calibri"/>
          <w:b/>
          <w:bCs/>
        </w:rPr>
        <w:t>The Purpose of Public Health Reporting</w:t>
      </w:r>
    </w:p>
    <w:p w14:paraId="00EF74C5" w14:textId="77777777" w:rsidR="00D74025" w:rsidRPr="00D74025" w:rsidRDefault="00D74025" w:rsidP="00D74025">
      <w:pPr>
        <w:rPr>
          <w:rFonts w:ascii="Calibri" w:hAnsi="Calibri" w:cs="Calibri"/>
        </w:rPr>
      </w:pPr>
      <w:r w:rsidRPr="00D74025">
        <w:rPr>
          <w:rFonts w:ascii="Calibri" w:hAnsi="Calibri" w:cs="Calibri"/>
        </w:rPr>
        <w:t>Public health reporting helps transform epidemiological findings into practical responses.</w:t>
      </w:r>
    </w:p>
    <w:p w14:paraId="7D5F510D" w14:textId="77777777" w:rsidR="00D74025" w:rsidRPr="00D74025" w:rsidRDefault="00D74025" w:rsidP="00D74025">
      <w:pPr>
        <w:rPr>
          <w:rFonts w:ascii="Calibri" w:hAnsi="Calibri" w:cs="Calibri"/>
        </w:rPr>
      </w:pPr>
      <w:r w:rsidRPr="00D74025">
        <w:rPr>
          <w:rFonts w:ascii="Calibri" w:hAnsi="Calibri" w:cs="Calibri"/>
        </w:rPr>
        <w:t>One key purpose is situational awareness. Reports provide a structured overview of the outbreak, including case numbers, trends, severity indicators, geographic spread, and affected populations. This helps decision-makers understand the scale and nature of the event.</w:t>
      </w:r>
    </w:p>
    <w:p w14:paraId="4CB5555C" w14:textId="77777777" w:rsidR="00D74025" w:rsidRPr="00D74025" w:rsidRDefault="00D74025" w:rsidP="00D74025">
      <w:pPr>
        <w:rPr>
          <w:rFonts w:ascii="Calibri" w:hAnsi="Calibri" w:cs="Calibri"/>
        </w:rPr>
      </w:pPr>
      <w:r w:rsidRPr="00D74025">
        <w:rPr>
          <w:rFonts w:ascii="Calibri" w:hAnsi="Calibri" w:cs="Calibri"/>
        </w:rPr>
        <w:t>Reporting also supports coordination between organisations and sectors. Outbreak response often involves public health agencies, hospitals, laboratories, schools, workplaces, governments, and international partners. Shared reporting systems help ensure consistent understanding and aligned responses.</w:t>
      </w:r>
    </w:p>
    <w:p w14:paraId="6398968B" w14:textId="77777777" w:rsidR="00D74025" w:rsidRPr="00D74025" w:rsidRDefault="00D74025" w:rsidP="00D74025">
      <w:pPr>
        <w:rPr>
          <w:rFonts w:ascii="Calibri" w:hAnsi="Calibri" w:cs="Calibri"/>
        </w:rPr>
      </w:pPr>
      <w:r w:rsidRPr="00D74025">
        <w:rPr>
          <w:rFonts w:ascii="Calibri" w:hAnsi="Calibri" w:cs="Calibri"/>
        </w:rPr>
        <w:t>Another important purpose is surveillance. Regular reporting allows authorities to monitor whether transmission is increasing, stabilising, or declining and whether interventions are having an effect.</w:t>
      </w:r>
    </w:p>
    <w:p w14:paraId="6FD43074" w14:textId="77777777" w:rsidR="00D74025" w:rsidRPr="00D74025" w:rsidRDefault="00D74025" w:rsidP="00D74025">
      <w:pPr>
        <w:rPr>
          <w:rFonts w:ascii="Calibri" w:hAnsi="Calibri" w:cs="Calibri"/>
        </w:rPr>
      </w:pPr>
      <w:r w:rsidRPr="00D74025">
        <w:rPr>
          <w:rFonts w:ascii="Calibri" w:hAnsi="Calibri" w:cs="Calibri"/>
        </w:rPr>
        <w:t>Reporting additionally supports transparency and public trust. Clear communication about risks, uncertainties, and response measures helps communities understand the situation and encourages appropriate public health behaviours.</w:t>
      </w:r>
    </w:p>
    <w:p w14:paraId="3A53C9CD" w14:textId="77777777" w:rsidR="00D74025" w:rsidRPr="00D74025" w:rsidRDefault="00D74025" w:rsidP="00D74025">
      <w:pPr>
        <w:rPr>
          <w:rFonts w:ascii="Calibri" w:hAnsi="Calibri" w:cs="Calibri"/>
        </w:rPr>
      </w:pPr>
      <w:r w:rsidRPr="00D74025">
        <w:rPr>
          <w:rFonts w:ascii="Calibri" w:hAnsi="Calibri" w:cs="Calibri"/>
        </w:rPr>
        <w:t>Finally, reporting creates a documented record of the outbreak and response process, contributing to evaluation, accountability, and future preparedness planning.</w:t>
      </w:r>
    </w:p>
    <w:p w14:paraId="3B719A76" w14:textId="77777777" w:rsidR="00D74025" w:rsidRPr="00D74025" w:rsidRDefault="00D74025" w:rsidP="00D74025">
      <w:pPr>
        <w:rPr>
          <w:rFonts w:ascii="Calibri" w:hAnsi="Calibri" w:cs="Calibri"/>
        </w:rPr>
      </w:pPr>
      <w:r w:rsidRPr="00D74025">
        <w:rPr>
          <w:rFonts w:ascii="Calibri" w:hAnsi="Calibri" w:cs="Calibri"/>
        </w:rPr>
        <w:pict w14:anchorId="5B990266">
          <v:rect id="_x0000_i1092" style="width:0;height:1.5pt" o:hralign="center" o:hrstd="t" o:hr="t" fillcolor="#a0a0a0" stroked="f"/>
        </w:pict>
      </w:r>
    </w:p>
    <w:p w14:paraId="103F644E" w14:textId="77777777" w:rsidR="00D74025" w:rsidRPr="00D74025" w:rsidRDefault="00D74025" w:rsidP="00D74025">
      <w:pPr>
        <w:rPr>
          <w:rFonts w:ascii="Calibri" w:hAnsi="Calibri" w:cs="Calibri"/>
          <w:b/>
          <w:bCs/>
        </w:rPr>
      </w:pPr>
      <w:r w:rsidRPr="00D74025">
        <w:rPr>
          <w:rFonts w:ascii="Calibri" w:hAnsi="Calibri" w:cs="Calibri"/>
          <w:b/>
          <w:bCs/>
        </w:rPr>
        <w:t>Types of Public Health Reports</w:t>
      </w:r>
    </w:p>
    <w:p w14:paraId="6AF7CA18" w14:textId="77777777" w:rsidR="00D74025" w:rsidRPr="00D74025" w:rsidRDefault="00D74025" w:rsidP="00D74025">
      <w:pPr>
        <w:rPr>
          <w:rFonts w:ascii="Calibri" w:hAnsi="Calibri" w:cs="Calibri"/>
        </w:rPr>
      </w:pPr>
      <w:r w:rsidRPr="00D74025">
        <w:rPr>
          <w:rFonts w:ascii="Calibri" w:hAnsi="Calibri" w:cs="Calibri"/>
        </w:rPr>
        <w:t>Different types of reports are used during outbreak investigations depending on the audience and purpose.</w:t>
      </w:r>
    </w:p>
    <w:p w14:paraId="3F10D8AE" w14:textId="77777777" w:rsidR="00D74025" w:rsidRPr="00D74025" w:rsidRDefault="00D74025" w:rsidP="00D74025">
      <w:pPr>
        <w:rPr>
          <w:rFonts w:ascii="Calibri" w:hAnsi="Calibri" w:cs="Calibri"/>
        </w:rPr>
      </w:pPr>
      <w:r w:rsidRPr="00D74025">
        <w:rPr>
          <w:rFonts w:ascii="Calibri" w:hAnsi="Calibri" w:cs="Calibri"/>
        </w:rPr>
        <w:t>Initial outbreak alerts are often brief and rapid. These early reports may summarise emerging concerns, suspected cases, or unusual patterns requiring immediate attention.</w:t>
      </w:r>
    </w:p>
    <w:p w14:paraId="04555C83" w14:textId="77777777" w:rsidR="00D74025" w:rsidRPr="00D74025" w:rsidRDefault="00D74025" w:rsidP="00D74025">
      <w:pPr>
        <w:rPr>
          <w:rFonts w:ascii="Calibri" w:hAnsi="Calibri" w:cs="Calibri"/>
        </w:rPr>
      </w:pPr>
      <w:r w:rsidRPr="00D74025">
        <w:rPr>
          <w:rFonts w:ascii="Calibri" w:hAnsi="Calibri" w:cs="Calibri"/>
        </w:rPr>
        <w:lastRenderedPageBreak/>
        <w:t>Situation reports provide regular updates throughout the outbreak. These reports may include case counts, transmission trends, laboratory findings, healthcare pressures, intervention updates, and operational challenges.</w:t>
      </w:r>
    </w:p>
    <w:p w14:paraId="59CAC423" w14:textId="77777777" w:rsidR="00D74025" w:rsidRPr="00D74025" w:rsidRDefault="00D74025" w:rsidP="00D74025">
      <w:pPr>
        <w:rPr>
          <w:rFonts w:ascii="Calibri" w:hAnsi="Calibri" w:cs="Calibri"/>
        </w:rPr>
      </w:pPr>
      <w:r w:rsidRPr="00D74025">
        <w:rPr>
          <w:rFonts w:ascii="Calibri" w:hAnsi="Calibri" w:cs="Calibri"/>
        </w:rPr>
        <w:t>Technical epidemiological reports provide more detailed analysis for scientific or specialist audiences. These reports may include methods, interpretation of findings, limitations, and recommendations.</w:t>
      </w:r>
    </w:p>
    <w:p w14:paraId="52D3558B" w14:textId="77777777" w:rsidR="00D74025" w:rsidRPr="00D74025" w:rsidRDefault="00D74025" w:rsidP="00D74025">
      <w:pPr>
        <w:rPr>
          <w:rFonts w:ascii="Calibri" w:hAnsi="Calibri" w:cs="Calibri"/>
        </w:rPr>
      </w:pPr>
      <w:r w:rsidRPr="00D74025">
        <w:rPr>
          <w:rFonts w:ascii="Calibri" w:hAnsi="Calibri" w:cs="Calibri"/>
        </w:rPr>
        <w:t>Healthcare system reports may focus on operational issues such as hospital capacity, staffing pressures, supply shortages, or infection prevention measures.</w:t>
      </w:r>
    </w:p>
    <w:p w14:paraId="1085A5BE" w14:textId="77777777" w:rsidR="00D74025" w:rsidRPr="00D74025" w:rsidRDefault="00D74025" w:rsidP="00D74025">
      <w:pPr>
        <w:rPr>
          <w:rFonts w:ascii="Calibri" w:hAnsi="Calibri" w:cs="Calibri"/>
        </w:rPr>
      </w:pPr>
      <w:r w:rsidRPr="00D74025">
        <w:rPr>
          <w:rFonts w:ascii="Calibri" w:hAnsi="Calibri" w:cs="Calibri"/>
        </w:rPr>
        <w:t>Public communication reports are designed for communities and the media. These reports prioritise clarity, accessibility, and practical guidance rather than technical detail.</w:t>
      </w:r>
    </w:p>
    <w:p w14:paraId="7234213E" w14:textId="77777777" w:rsidR="00D74025" w:rsidRPr="00D74025" w:rsidRDefault="00D74025" w:rsidP="00D74025">
      <w:pPr>
        <w:rPr>
          <w:rFonts w:ascii="Calibri" w:hAnsi="Calibri" w:cs="Calibri"/>
        </w:rPr>
      </w:pPr>
      <w:r w:rsidRPr="00D74025">
        <w:rPr>
          <w:rFonts w:ascii="Calibri" w:hAnsi="Calibri" w:cs="Calibri"/>
        </w:rPr>
        <w:t>International reporting may also occur for outbreaks with cross-border implications. Global health organisations and neighbouring countries may require information to support coordinated surveillance and response.</w:t>
      </w:r>
    </w:p>
    <w:p w14:paraId="54EC42B4" w14:textId="77777777" w:rsidR="00D74025" w:rsidRPr="00D74025" w:rsidRDefault="00D74025" w:rsidP="00D74025">
      <w:pPr>
        <w:rPr>
          <w:rFonts w:ascii="Calibri" w:hAnsi="Calibri" w:cs="Calibri"/>
        </w:rPr>
      </w:pPr>
      <w:r w:rsidRPr="00D74025">
        <w:rPr>
          <w:rFonts w:ascii="Calibri" w:hAnsi="Calibri" w:cs="Calibri"/>
        </w:rPr>
        <w:t>Each report type requires different levels of detail, language, and presentation style.</w:t>
      </w:r>
    </w:p>
    <w:p w14:paraId="06C7E4E9" w14:textId="77777777" w:rsidR="00D74025" w:rsidRPr="00D74025" w:rsidRDefault="00D74025" w:rsidP="00D74025">
      <w:pPr>
        <w:rPr>
          <w:rFonts w:ascii="Calibri" w:hAnsi="Calibri" w:cs="Calibri"/>
        </w:rPr>
      </w:pPr>
      <w:r w:rsidRPr="00D74025">
        <w:rPr>
          <w:rFonts w:ascii="Calibri" w:hAnsi="Calibri" w:cs="Calibri"/>
        </w:rPr>
        <w:pict w14:anchorId="17FDE404">
          <v:rect id="_x0000_i1093" style="width:0;height:1.5pt" o:hralign="center" o:hrstd="t" o:hr="t" fillcolor="#a0a0a0" stroked="f"/>
        </w:pict>
      </w:r>
    </w:p>
    <w:p w14:paraId="3DA5793D" w14:textId="77777777" w:rsidR="00D74025" w:rsidRPr="00D74025" w:rsidRDefault="00D74025" w:rsidP="00D74025">
      <w:pPr>
        <w:rPr>
          <w:rFonts w:ascii="Calibri" w:hAnsi="Calibri" w:cs="Calibri"/>
          <w:b/>
          <w:bCs/>
        </w:rPr>
      </w:pPr>
      <w:r w:rsidRPr="00D74025">
        <w:rPr>
          <w:rFonts w:ascii="Calibri" w:hAnsi="Calibri" w:cs="Calibri"/>
          <w:b/>
          <w:bCs/>
        </w:rPr>
        <w:t>Key Components of Outbreak Reporting</w:t>
      </w:r>
    </w:p>
    <w:p w14:paraId="1028F4A7" w14:textId="77777777" w:rsidR="00D74025" w:rsidRPr="00D74025" w:rsidRDefault="00D74025" w:rsidP="00D74025">
      <w:pPr>
        <w:rPr>
          <w:rFonts w:ascii="Calibri" w:hAnsi="Calibri" w:cs="Calibri"/>
        </w:rPr>
      </w:pPr>
      <w:r w:rsidRPr="00D74025">
        <w:rPr>
          <w:rFonts w:ascii="Calibri" w:hAnsi="Calibri" w:cs="Calibri"/>
        </w:rPr>
        <w:t>Although reporting formats vary, several core components are commonly included in outbreak reports.</w:t>
      </w:r>
    </w:p>
    <w:p w14:paraId="0E3E55D4" w14:textId="77777777" w:rsidR="00D74025" w:rsidRPr="00D74025" w:rsidRDefault="00D74025" w:rsidP="00D74025">
      <w:pPr>
        <w:rPr>
          <w:rFonts w:ascii="Calibri" w:hAnsi="Calibri" w:cs="Calibri"/>
        </w:rPr>
      </w:pPr>
      <w:r w:rsidRPr="00D74025">
        <w:rPr>
          <w:rFonts w:ascii="Calibri" w:hAnsi="Calibri" w:cs="Calibri"/>
        </w:rPr>
        <w:t>Reports usually begin with a summary of the current situation, including the number of cases, deaths, affected regions, and major developments.</w:t>
      </w:r>
    </w:p>
    <w:p w14:paraId="086F7179" w14:textId="77777777" w:rsidR="00D74025" w:rsidRPr="00D74025" w:rsidRDefault="00D74025" w:rsidP="00D74025">
      <w:pPr>
        <w:rPr>
          <w:rFonts w:ascii="Calibri" w:hAnsi="Calibri" w:cs="Calibri"/>
        </w:rPr>
      </w:pPr>
      <w:r w:rsidRPr="00D74025">
        <w:rPr>
          <w:rFonts w:ascii="Calibri" w:hAnsi="Calibri" w:cs="Calibri"/>
        </w:rPr>
        <w:t>Descriptive epidemiology often follows, outlining patterns according to person, place, and time. This helps identify which groups are most affected and how transmission is occurring.</w:t>
      </w:r>
    </w:p>
    <w:p w14:paraId="3660DF10" w14:textId="77777777" w:rsidR="00D74025" w:rsidRPr="00D74025" w:rsidRDefault="00D74025" w:rsidP="00D74025">
      <w:pPr>
        <w:rPr>
          <w:rFonts w:ascii="Calibri" w:hAnsi="Calibri" w:cs="Calibri"/>
        </w:rPr>
      </w:pPr>
      <w:r w:rsidRPr="00D74025">
        <w:rPr>
          <w:rFonts w:ascii="Calibri" w:hAnsi="Calibri" w:cs="Calibri"/>
        </w:rPr>
        <w:t>Laboratory findings are typically included where available, especially when confirming diagnoses, identifying variants, or monitoring resistance patterns.</w:t>
      </w:r>
    </w:p>
    <w:p w14:paraId="3D5A33D1" w14:textId="77777777" w:rsidR="00D74025" w:rsidRPr="00D74025" w:rsidRDefault="00D74025" w:rsidP="00D74025">
      <w:pPr>
        <w:rPr>
          <w:rFonts w:ascii="Calibri" w:hAnsi="Calibri" w:cs="Calibri"/>
        </w:rPr>
      </w:pPr>
      <w:r w:rsidRPr="00D74025">
        <w:rPr>
          <w:rFonts w:ascii="Calibri" w:hAnsi="Calibri" w:cs="Calibri"/>
        </w:rPr>
        <w:t>Reports often describe public health interventions already implemented, such as testing programmes, contact tracing, vaccination campaigns, or infection control measures.</w:t>
      </w:r>
    </w:p>
    <w:p w14:paraId="4882ABF2" w14:textId="77777777" w:rsidR="00D74025" w:rsidRPr="00D74025" w:rsidRDefault="00D74025" w:rsidP="00D74025">
      <w:pPr>
        <w:rPr>
          <w:rFonts w:ascii="Calibri" w:hAnsi="Calibri" w:cs="Calibri"/>
        </w:rPr>
      </w:pPr>
      <w:r w:rsidRPr="00D74025">
        <w:rPr>
          <w:rFonts w:ascii="Calibri" w:hAnsi="Calibri" w:cs="Calibri"/>
        </w:rPr>
        <w:t>Interpretation and risk assessment are important components. Investigators explain what the findings suggest, what uncertainties remain, and what risks may emerge in the near future.</w:t>
      </w:r>
    </w:p>
    <w:p w14:paraId="580B46A4" w14:textId="77777777" w:rsidR="00D74025" w:rsidRPr="00D74025" w:rsidRDefault="00D74025" w:rsidP="00D74025">
      <w:pPr>
        <w:rPr>
          <w:rFonts w:ascii="Calibri" w:hAnsi="Calibri" w:cs="Calibri"/>
        </w:rPr>
      </w:pPr>
      <w:r w:rsidRPr="00D74025">
        <w:rPr>
          <w:rFonts w:ascii="Calibri" w:hAnsi="Calibri" w:cs="Calibri"/>
        </w:rPr>
        <w:t>Recommendations or action points are frequently included to guide policymakers, healthcare providers, or operational teams.</w:t>
      </w:r>
    </w:p>
    <w:p w14:paraId="43A1F8B7" w14:textId="77777777" w:rsidR="00D74025" w:rsidRPr="00D74025" w:rsidRDefault="00D74025" w:rsidP="00D74025">
      <w:pPr>
        <w:rPr>
          <w:rFonts w:ascii="Calibri" w:hAnsi="Calibri" w:cs="Calibri"/>
        </w:rPr>
      </w:pPr>
      <w:r w:rsidRPr="00D74025">
        <w:rPr>
          <w:rFonts w:ascii="Calibri" w:hAnsi="Calibri" w:cs="Calibri"/>
        </w:rPr>
        <w:t>Finally, reports should acknowledge limitations and uncertainties. Transparent reporting strengthens credibility and supports informed decision-making.</w:t>
      </w:r>
    </w:p>
    <w:p w14:paraId="37CF56FA" w14:textId="77777777" w:rsidR="00D74025" w:rsidRPr="00D74025" w:rsidRDefault="00D74025" w:rsidP="00D74025">
      <w:pPr>
        <w:rPr>
          <w:rFonts w:ascii="Calibri" w:hAnsi="Calibri" w:cs="Calibri"/>
        </w:rPr>
      </w:pPr>
      <w:r w:rsidRPr="00D74025">
        <w:rPr>
          <w:rFonts w:ascii="Calibri" w:hAnsi="Calibri" w:cs="Calibri"/>
        </w:rPr>
        <w:pict w14:anchorId="02212295">
          <v:rect id="_x0000_i1094" style="width:0;height:1.5pt" o:hralign="center" o:hrstd="t" o:hr="t" fillcolor="#a0a0a0" stroked="f"/>
        </w:pict>
      </w:r>
    </w:p>
    <w:p w14:paraId="28488E23" w14:textId="77777777" w:rsidR="00D74025" w:rsidRPr="00D74025" w:rsidRDefault="00D74025" w:rsidP="00D74025">
      <w:pPr>
        <w:rPr>
          <w:rFonts w:ascii="Calibri" w:hAnsi="Calibri" w:cs="Calibri"/>
          <w:b/>
          <w:bCs/>
        </w:rPr>
      </w:pPr>
      <w:r w:rsidRPr="00D74025">
        <w:rPr>
          <w:rFonts w:ascii="Calibri" w:hAnsi="Calibri" w:cs="Calibri"/>
          <w:b/>
          <w:bCs/>
        </w:rPr>
        <w:t>Communicating Risk and Uncertainty</w:t>
      </w:r>
    </w:p>
    <w:p w14:paraId="02819BFA" w14:textId="77777777" w:rsidR="00D74025" w:rsidRPr="00D74025" w:rsidRDefault="00D74025" w:rsidP="00D74025">
      <w:pPr>
        <w:rPr>
          <w:rFonts w:ascii="Calibri" w:hAnsi="Calibri" w:cs="Calibri"/>
        </w:rPr>
      </w:pPr>
      <w:r w:rsidRPr="00D74025">
        <w:rPr>
          <w:rFonts w:ascii="Calibri" w:hAnsi="Calibri" w:cs="Calibri"/>
        </w:rPr>
        <w:t>Risk communication is one of the most challenging aspects of outbreak reporting.</w:t>
      </w:r>
    </w:p>
    <w:p w14:paraId="41496F55" w14:textId="77777777" w:rsidR="00D74025" w:rsidRPr="00D74025" w:rsidRDefault="00D74025" w:rsidP="00D74025">
      <w:pPr>
        <w:rPr>
          <w:rFonts w:ascii="Calibri" w:hAnsi="Calibri" w:cs="Calibri"/>
        </w:rPr>
      </w:pPr>
      <w:r w:rsidRPr="00D74025">
        <w:rPr>
          <w:rFonts w:ascii="Calibri" w:hAnsi="Calibri" w:cs="Calibri"/>
        </w:rPr>
        <w:t>Outbreaks often involve incomplete or rapidly evolving evidence. Public health professionals may need to communicate uncertainty while still providing clear guidance and maintaining public confidence.</w:t>
      </w:r>
    </w:p>
    <w:p w14:paraId="3940DB7C" w14:textId="77777777" w:rsidR="00D74025" w:rsidRPr="00D74025" w:rsidRDefault="00D74025" w:rsidP="00D74025">
      <w:pPr>
        <w:rPr>
          <w:rFonts w:ascii="Calibri" w:hAnsi="Calibri" w:cs="Calibri"/>
        </w:rPr>
      </w:pPr>
      <w:r w:rsidRPr="00D74025">
        <w:rPr>
          <w:rFonts w:ascii="Calibri" w:hAnsi="Calibri" w:cs="Calibri"/>
        </w:rPr>
        <w:t>Overly reassuring communication may reduce preparedness if risks later increase. Conversely, exaggerated or alarmist messaging may increase fear, stigma, or mistrust.</w:t>
      </w:r>
    </w:p>
    <w:p w14:paraId="0830F918" w14:textId="77777777" w:rsidR="00D74025" w:rsidRPr="00D74025" w:rsidRDefault="00D74025" w:rsidP="00D74025">
      <w:pPr>
        <w:rPr>
          <w:rFonts w:ascii="Calibri" w:hAnsi="Calibri" w:cs="Calibri"/>
        </w:rPr>
      </w:pPr>
      <w:r w:rsidRPr="00D74025">
        <w:rPr>
          <w:rFonts w:ascii="Calibri" w:hAnsi="Calibri" w:cs="Calibri"/>
        </w:rPr>
        <w:t>Effective communication should therefore be accurate, proportionate, transparent, and understandable.</w:t>
      </w:r>
    </w:p>
    <w:p w14:paraId="59D0C76A" w14:textId="77777777" w:rsidR="00D74025" w:rsidRPr="00D74025" w:rsidRDefault="00D74025" w:rsidP="00D74025">
      <w:pPr>
        <w:rPr>
          <w:rFonts w:ascii="Calibri" w:hAnsi="Calibri" w:cs="Calibri"/>
        </w:rPr>
      </w:pPr>
      <w:r w:rsidRPr="00D74025">
        <w:rPr>
          <w:rFonts w:ascii="Calibri" w:hAnsi="Calibri" w:cs="Calibri"/>
        </w:rPr>
        <w:t>Public health messages should explain what is known, what remains uncertain, and what actions individuals or communities can take to reduce risk.</w:t>
      </w:r>
    </w:p>
    <w:p w14:paraId="397F021A" w14:textId="77777777" w:rsidR="00D74025" w:rsidRPr="00D74025" w:rsidRDefault="00D74025" w:rsidP="00D74025">
      <w:pPr>
        <w:rPr>
          <w:rFonts w:ascii="Calibri" w:hAnsi="Calibri" w:cs="Calibri"/>
        </w:rPr>
      </w:pPr>
      <w:r w:rsidRPr="00D74025">
        <w:rPr>
          <w:rFonts w:ascii="Calibri" w:hAnsi="Calibri" w:cs="Calibri"/>
        </w:rPr>
        <w:t>Consistency is also important. Contradictory messages from different organisations or spokespersons can create confusion and weaken public trust.</w:t>
      </w:r>
    </w:p>
    <w:p w14:paraId="58807C0E" w14:textId="77777777" w:rsidR="00D74025" w:rsidRPr="00D74025" w:rsidRDefault="00D74025" w:rsidP="00D74025">
      <w:pPr>
        <w:rPr>
          <w:rFonts w:ascii="Calibri" w:hAnsi="Calibri" w:cs="Calibri"/>
        </w:rPr>
      </w:pPr>
      <w:r w:rsidRPr="00D74025">
        <w:rPr>
          <w:rFonts w:ascii="Calibri" w:hAnsi="Calibri" w:cs="Calibri"/>
        </w:rPr>
        <w:lastRenderedPageBreak/>
        <w:t>Communication strategies should consider diverse audiences, including differences in language, culture, literacy, digital access, and trust in institutions.</w:t>
      </w:r>
    </w:p>
    <w:p w14:paraId="54241268" w14:textId="77777777" w:rsidR="00D74025" w:rsidRPr="00D74025" w:rsidRDefault="00D74025" w:rsidP="00D74025">
      <w:pPr>
        <w:rPr>
          <w:rFonts w:ascii="Calibri" w:hAnsi="Calibri" w:cs="Calibri"/>
        </w:rPr>
      </w:pPr>
      <w:r w:rsidRPr="00D74025">
        <w:rPr>
          <w:rFonts w:ascii="Calibri" w:hAnsi="Calibri" w:cs="Calibri"/>
        </w:rPr>
        <w:pict w14:anchorId="4C38594A">
          <v:rect id="_x0000_i1095" style="width:0;height:1.5pt" o:hralign="center" o:hrstd="t" o:hr="t" fillcolor="#a0a0a0" stroked="f"/>
        </w:pict>
      </w:r>
    </w:p>
    <w:p w14:paraId="06E2FA26" w14:textId="77777777" w:rsidR="00D74025" w:rsidRPr="00D74025" w:rsidRDefault="00D74025" w:rsidP="00D74025">
      <w:pPr>
        <w:rPr>
          <w:rFonts w:ascii="Calibri" w:hAnsi="Calibri" w:cs="Calibri"/>
          <w:b/>
          <w:bCs/>
        </w:rPr>
      </w:pPr>
      <w:r w:rsidRPr="00D74025">
        <w:rPr>
          <w:rFonts w:ascii="Calibri" w:hAnsi="Calibri" w:cs="Calibri"/>
          <w:b/>
          <w:bCs/>
        </w:rPr>
        <w:t>Public Health Actions During Outbreaks</w:t>
      </w:r>
    </w:p>
    <w:p w14:paraId="4CA33987" w14:textId="77777777" w:rsidR="00D74025" w:rsidRPr="00D74025" w:rsidRDefault="00D74025" w:rsidP="00D74025">
      <w:pPr>
        <w:rPr>
          <w:rFonts w:ascii="Calibri" w:hAnsi="Calibri" w:cs="Calibri"/>
        </w:rPr>
      </w:pPr>
      <w:r w:rsidRPr="00D74025">
        <w:rPr>
          <w:rFonts w:ascii="Calibri" w:hAnsi="Calibri" w:cs="Calibri"/>
        </w:rPr>
        <w:t>Outbreak investigations are conducted to support action. Public health responses aim to reduce transmission, protect vulnerable populations, minimise harm, and restore normal functioning where possible.</w:t>
      </w:r>
    </w:p>
    <w:p w14:paraId="2CE2D2F3" w14:textId="77777777" w:rsidR="00D74025" w:rsidRPr="00D74025" w:rsidRDefault="00D74025" w:rsidP="00D74025">
      <w:pPr>
        <w:rPr>
          <w:rFonts w:ascii="Calibri" w:hAnsi="Calibri" w:cs="Calibri"/>
        </w:rPr>
      </w:pPr>
      <w:r w:rsidRPr="00D74025">
        <w:rPr>
          <w:rFonts w:ascii="Calibri" w:hAnsi="Calibri" w:cs="Calibri"/>
        </w:rPr>
        <w:t>Actions vary depending on the pathogen, transmission route, population affected, and severity of the outbreak.</w:t>
      </w:r>
    </w:p>
    <w:p w14:paraId="14C38521" w14:textId="77777777" w:rsidR="00D74025" w:rsidRPr="00D74025" w:rsidRDefault="00D74025" w:rsidP="00D74025">
      <w:pPr>
        <w:rPr>
          <w:rFonts w:ascii="Calibri" w:hAnsi="Calibri" w:cs="Calibri"/>
        </w:rPr>
      </w:pPr>
      <w:r w:rsidRPr="00D74025">
        <w:rPr>
          <w:rFonts w:ascii="Calibri" w:hAnsi="Calibri" w:cs="Calibri"/>
        </w:rPr>
        <w:t>Surveillance measures may be strengthened to improve case detection and monitoring. This may involve expanded testing, enhanced reporting systems, or targeted screening programmes.</w:t>
      </w:r>
    </w:p>
    <w:p w14:paraId="2BD6F617" w14:textId="77777777" w:rsidR="00D74025" w:rsidRPr="00D74025" w:rsidRDefault="00D74025" w:rsidP="00D74025">
      <w:pPr>
        <w:rPr>
          <w:rFonts w:ascii="Calibri" w:hAnsi="Calibri" w:cs="Calibri"/>
        </w:rPr>
      </w:pPr>
      <w:r w:rsidRPr="00D74025">
        <w:rPr>
          <w:rFonts w:ascii="Calibri" w:hAnsi="Calibri" w:cs="Calibri"/>
        </w:rPr>
        <w:t>Contact tracing and isolation measures may be introduced to interrupt chains of transmission.</w:t>
      </w:r>
    </w:p>
    <w:p w14:paraId="70ABA58C" w14:textId="77777777" w:rsidR="00D74025" w:rsidRPr="00D74025" w:rsidRDefault="00D74025" w:rsidP="00D74025">
      <w:pPr>
        <w:rPr>
          <w:rFonts w:ascii="Calibri" w:hAnsi="Calibri" w:cs="Calibri"/>
        </w:rPr>
      </w:pPr>
      <w:r w:rsidRPr="00D74025">
        <w:rPr>
          <w:rFonts w:ascii="Calibri" w:hAnsi="Calibri" w:cs="Calibri"/>
        </w:rPr>
        <w:t>Vaccination campaigns are often central to outbreak response when effective vaccines are available. Public health authorities may prioritise high-risk populations or implement booster programmes depending on emerging evidence.</w:t>
      </w:r>
    </w:p>
    <w:p w14:paraId="03FAD9DC" w14:textId="77777777" w:rsidR="00D74025" w:rsidRPr="00D74025" w:rsidRDefault="00D74025" w:rsidP="00D74025">
      <w:pPr>
        <w:rPr>
          <w:rFonts w:ascii="Calibri" w:hAnsi="Calibri" w:cs="Calibri"/>
        </w:rPr>
      </w:pPr>
      <w:r w:rsidRPr="00D74025">
        <w:rPr>
          <w:rFonts w:ascii="Calibri" w:hAnsi="Calibri" w:cs="Calibri"/>
        </w:rPr>
        <w:t>Infection prevention and control measures may include hygiene guidance, ventilation improvements, use of personal protective equipment, or healthcare protocols.</w:t>
      </w:r>
    </w:p>
    <w:p w14:paraId="498472E9" w14:textId="77777777" w:rsidR="00D74025" w:rsidRPr="00D74025" w:rsidRDefault="00D74025" w:rsidP="00D74025">
      <w:pPr>
        <w:rPr>
          <w:rFonts w:ascii="Calibri" w:hAnsi="Calibri" w:cs="Calibri"/>
        </w:rPr>
      </w:pPr>
      <w:r w:rsidRPr="00D74025">
        <w:rPr>
          <w:rFonts w:ascii="Calibri" w:hAnsi="Calibri" w:cs="Calibri"/>
        </w:rPr>
        <w:t>Community-level interventions may involve public information campaigns, school measures, workplace adjustments, or restrictions on gatherings during severe outbreaks.</w:t>
      </w:r>
    </w:p>
    <w:p w14:paraId="79393201" w14:textId="77777777" w:rsidR="00D74025" w:rsidRPr="00D74025" w:rsidRDefault="00D74025" w:rsidP="00D74025">
      <w:pPr>
        <w:rPr>
          <w:rFonts w:ascii="Calibri" w:hAnsi="Calibri" w:cs="Calibri"/>
        </w:rPr>
      </w:pPr>
      <w:r w:rsidRPr="00D74025">
        <w:rPr>
          <w:rFonts w:ascii="Calibri" w:hAnsi="Calibri" w:cs="Calibri"/>
        </w:rPr>
        <w:t>Healthcare system responses may include surge planning, staffing adjustments, expansion of treatment capacity, or redistribution of resources.</w:t>
      </w:r>
    </w:p>
    <w:p w14:paraId="224036A4" w14:textId="77777777" w:rsidR="00D74025" w:rsidRPr="00D74025" w:rsidRDefault="00D74025" w:rsidP="00D74025">
      <w:pPr>
        <w:rPr>
          <w:rFonts w:ascii="Calibri" w:hAnsi="Calibri" w:cs="Calibri"/>
        </w:rPr>
      </w:pPr>
      <w:r w:rsidRPr="00D74025">
        <w:rPr>
          <w:rFonts w:ascii="Calibri" w:hAnsi="Calibri" w:cs="Calibri"/>
        </w:rPr>
        <w:t>All actions require ongoing monitoring and evaluation to assess effectiveness and identify unintended consequences.</w:t>
      </w:r>
    </w:p>
    <w:p w14:paraId="147D092C" w14:textId="77777777" w:rsidR="00D74025" w:rsidRPr="00D74025" w:rsidRDefault="00D74025" w:rsidP="00D74025">
      <w:pPr>
        <w:rPr>
          <w:rFonts w:ascii="Calibri" w:hAnsi="Calibri" w:cs="Calibri"/>
        </w:rPr>
      </w:pPr>
      <w:r w:rsidRPr="00D74025">
        <w:rPr>
          <w:rFonts w:ascii="Calibri" w:hAnsi="Calibri" w:cs="Calibri"/>
        </w:rPr>
        <w:pict w14:anchorId="28C63757">
          <v:rect id="_x0000_i1096" style="width:0;height:1.5pt" o:hralign="center" o:hrstd="t" o:hr="t" fillcolor="#a0a0a0" stroked="f"/>
        </w:pict>
      </w:r>
    </w:p>
    <w:p w14:paraId="1BD59D6D" w14:textId="77777777" w:rsidR="00D74025" w:rsidRPr="00D74025" w:rsidRDefault="00D74025" w:rsidP="00D74025">
      <w:pPr>
        <w:rPr>
          <w:rFonts w:ascii="Calibri" w:hAnsi="Calibri" w:cs="Calibri"/>
          <w:b/>
          <w:bCs/>
        </w:rPr>
      </w:pPr>
      <w:r w:rsidRPr="00D74025">
        <w:rPr>
          <w:rFonts w:ascii="Calibri" w:hAnsi="Calibri" w:cs="Calibri"/>
          <w:b/>
          <w:bCs/>
        </w:rPr>
        <w:t>Data-Driven Decision-Making</w:t>
      </w:r>
    </w:p>
    <w:p w14:paraId="6D051A2A" w14:textId="77777777" w:rsidR="00D74025" w:rsidRPr="00D74025" w:rsidRDefault="00D74025" w:rsidP="00D74025">
      <w:pPr>
        <w:rPr>
          <w:rFonts w:ascii="Calibri" w:hAnsi="Calibri" w:cs="Calibri"/>
        </w:rPr>
      </w:pPr>
      <w:r w:rsidRPr="00D74025">
        <w:rPr>
          <w:rFonts w:ascii="Calibri" w:hAnsi="Calibri" w:cs="Calibri"/>
        </w:rPr>
        <w:t>Public health action should be evidence-informed whenever possible.</w:t>
      </w:r>
    </w:p>
    <w:p w14:paraId="77C9A69B" w14:textId="77777777" w:rsidR="00D74025" w:rsidRPr="00D74025" w:rsidRDefault="00D74025" w:rsidP="00D74025">
      <w:pPr>
        <w:rPr>
          <w:rFonts w:ascii="Calibri" w:hAnsi="Calibri" w:cs="Calibri"/>
        </w:rPr>
      </w:pPr>
      <w:r w:rsidRPr="00D74025">
        <w:rPr>
          <w:rFonts w:ascii="Calibri" w:hAnsi="Calibri" w:cs="Calibri"/>
        </w:rPr>
        <w:t>Outbreak data helps authorities determine which interventions are likely to be most effective, where resources should be prioritised, and whether existing measures are working.</w:t>
      </w:r>
    </w:p>
    <w:p w14:paraId="0E0970FD" w14:textId="77777777" w:rsidR="00D74025" w:rsidRPr="00D74025" w:rsidRDefault="00D74025" w:rsidP="00D74025">
      <w:pPr>
        <w:rPr>
          <w:rFonts w:ascii="Calibri" w:hAnsi="Calibri" w:cs="Calibri"/>
        </w:rPr>
      </w:pPr>
      <w:r w:rsidRPr="00D74025">
        <w:rPr>
          <w:rFonts w:ascii="Calibri" w:hAnsi="Calibri" w:cs="Calibri"/>
        </w:rPr>
        <w:t>Decision-making often occurs under uncertainty, particularly early in outbreaks. Public health leaders may therefore need to act before complete information is available.</w:t>
      </w:r>
    </w:p>
    <w:p w14:paraId="1B4043F3" w14:textId="77777777" w:rsidR="00D74025" w:rsidRPr="00D74025" w:rsidRDefault="00D74025" w:rsidP="00D74025">
      <w:pPr>
        <w:rPr>
          <w:rFonts w:ascii="Calibri" w:hAnsi="Calibri" w:cs="Calibri"/>
        </w:rPr>
      </w:pPr>
      <w:r w:rsidRPr="00D74025">
        <w:rPr>
          <w:rFonts w:ascii="Calibri" w:hAnsi="Calibri" w:cs="Calibri"/>
        </w:rPr>
        <w:t>Data-driven approaches help improve proportionality and responsiveness. Interventions can be strengthened, modified, or relaxed as new evidence emerges.</w:t>
      </w:r>
    </w:p>
    <w:p w14:paraId="0B7B70EF" w14:textId="77777777" w:rsidR="00D74025" w:rsidRPr="00D74025" w:rsidRDefault="00D74025" w:rsidP="00D74025">
      <w:pPr>
        <w:rPr>
          <w:rFonts w:ascii="Calibri" w:hAnsi="Calibri" w:cs="Calibri"/>
        </w:rPr>
      </w:pPr>
      <w:r w:rsidRPr="00D74025">
        <w:rPr>
          <w:rFonts w:ascii="Calibri" w:hAnsi="Calibri" w:cs="Calibri"/>
        </w:rPr>
        <w:t>However, decision-making is influenced not only by epidemiological evidence but also by ethical, social, economic, political, and operational considerations.</w:t>
      </w:r>
    </w:p>
    <w:p w14:paraId="19A84862" w14:textId="77777777" w:rsidR="00D74025" w:rsidRPr="00D74025" w:rsidRDefault="00D74025" w:rsidP="00D74025">
      <w:pPr>
        <w:rPr>
          <w:rFonts w:ascii="Calibri" w:hAnsi="Calibri" w:cs="Calibri"/>
        </w:rPr>
      </w:pPr>
      <w:r w:rsidRPr="00D74025">
        <w:rPr>
          <w:rFonts w:ascii="Calibri" w:hAnsi="Calibri" w:cs="Calibri"/>
        </w:rPr>
        <w:t>Public health actions must therefore balance disease control with broader impacts on society, healthcare systems, education, employment, and wellbeing.</w:t>
      </w:r>
    </w:p>
    <w:p w14:paraId="67ED9CFC" w14:textId="77777777" w:rsidR="00D74025" w:rsidRPr="00D74025" w:rsidRDefault="00D74025" w:rsidP="00D74025">
      <w:pPr>
        <w:rPr>
          <w:rFonts w:ascii="Calibri" w:hAnsi="Calibri" w:cs="Calibri"/>
        </w:rPr>
      </w:pPr>
      <w:r w:rsidRPr="00D74025">
        <w:rPr>
          <w:rFonts w:ascii="Calibri" w:hAnsi="Calibri" w:cs="Calibri"/>
        </w:rPr>
        <w:pict w14:anchorId="5745CBB6">
          <v:rect id="_x0000_i1097" style="width:0;height:1.5pt" o:hralign="center" o:hrstd="t" o:hr="t" fillcolor="#a0a0a0" stroked="f"/>
        </w:pict>
      </w:r>
    </w:p>
    <w:p w14:paraId="21AC5108" w14:textId="77777777" w:rsidR="00D74025" w:rsidRPr="00D74025" w:rsidRDefault="00D74025" w:rsidP="00D74025">
      <w:pPr>
        <w:rPr>
          <w:rFonts w:ascii="Calibri" w:hAnsi="Calibri" w:cs="Calibri"/>
          <w:b/>
          <w:bCs/>
        </w:rPr>
      </w:pPr>
      <w:r w:rsidRPr="00D74025">
        <w:rPr>
          <w:rFonts w:ascii="Calibri" w:hAnsi="Calibri" w:cs="Calibri"/>
          <w:b/>
          <w:bCs/>
        </w:rPr>
        <w:t>Ethical Considerations in Reporting and Action</w:t>
      </w:r>
    </w:p>
    <w:p w14:paraId="6AAD5F71" w14:textId="77777777" w:rsidR="00D74025" w:rsidRPr="00D74025" w:rsidRDefault="00D74025" w:rsidP="00D74025">
      <w:pPr>
        <w:rPr>
          <w:rFonts w:ascii="Calibri" w:hAnsi="Calibri" w:cs="Calibri"/>
        </w:rPr>
      </w:pPr>
      <w:r w:rsidRPr="00D74025">
        <w:rPr>
          <w:rFonts w:ascii="Calibri" w:hAnsi="Calibri" w:cs="Calibri"/>
        </w:rPr>
        <w:t>Ethics are central to both reporting and public health response.</w:t>
      </w:r>
    </w:p>
    <w:p w14:paraId="18337374" w14:textId="77777777" w:rsidR="00D74025" w:rsidRPr="00D74025" w:rsidRDefault="00D74025" w:rsidP="00D74025">
      <w:pPr>
        <w:rPr>
          <w:rFonts w:ascii="Calibri" w:hAnsi="Calibri" w:cs="Calibri"/>
        </w:rPr>
      </w:pPr>
      <w:r w:rsidRPr="00D74025">
        <w:rPr>
          <w:rFonts w:ascii="Calibri" w:hAnsi="Calibri" w:cs="Calibri"/>
        </w:rPr>
        <w:t>Confidentiality and privacy must be protected when reporting sensitive health information. Care is needed to avoid identifying individuals or communities unnecessarily.</w:t>
      </w:r>
    </w:p>
    <w:p w14:paraId="08E0F738" w14:textId="77777777" w:rsidR="00D74025" w:rsidRPr="00D74025" w:rsidRDefault="00D74025" w:rsidP="00D74025">
      <w:pPr>
        <w:rPr>
          <w:rFonts w:ascii="Calibri" w:hAnsi="Calibri" w:cs="Calibri"/>
        </w:rPr>
      </w:pPr>
      <w:r w:rsidRPr="00D74025">
        <w:rPr>
          <w:rFonts w:ascii="Calibri" w:hAnsi="Calibri" w:cs="Calibri"/>
        </w:rPr>
        <w:t>Reporting should avoid stigmatising particular groups, regions, occupations, or populations. Poorly framed communication can contribute to discrimination and social harm.</w:t>
      </w:r>
    </w:p>
    <w:p w14:paraId="3978DD29" w14:textId="77777777" w:rsidR="00D74025" w:rsidRPr="00D74025" w:rsidRDefault="00D74025" w:rsidP="00D74025">
      <w:pPr>
        <w:rPr>
          <w:rFonts w:ascii="Calibri" w:hAnsi="Calibri" w:cs="Calibri"/>
        </w:rPr>
      </w:pPr>
      <w:r w:rsidRPr="00D74025">
        <w:rPr>
          <w:rFonts w:ascii="Calibri" w:hAnsi="Calibri" w:cs="Calibri"/>
        </w:rPr>
        <w:lastRenderedPageBreak/>
        <w:t>Equity is another important consideration. Some populations may experience higher exposure risks, reduced healthcare access, or greater vulnerability during outbreaks. Public health actions should therefore consider fairness and inclusivity.</w:t>
      </w:r>
    </w:p>
    <w:p w14:paraId="6CC9421D" w14:textId="77777777" w:rsidR="00D74025" w:rsidRPr="00D74025" w:rsidRDefault="00D74025" w:rsidP="00D74025">
      <w:pPr>
        <w:rPr>
          <w:rFonts w:ascii="Calibri" w:hAnsi="Calibri" w:cs="Calibri"/>
        </w:rPr>
      </w:pPr>
      <w:r w:rsidRPr="00D74025">
        <w:rPr>
          <w:rFonts w:ascii="Calibri" w:hAnsi="Calibri" w:cs="Calibri"/>
        </w:rPr>
        <w:t>Interventions such as isolation, movement restrictions, or vaccination policies may raise ethical questions regarding individual rights, proportionality, and social impact.</w:t>
      </w:r>
    </w:p>
    <w:p w14:paraId="7FFA32AA" w14:textId="77777777" w:rsidR="00D74025" w:rsidRPr="00D74025" w:rsidRDefault="00D74025" w:rsidP="00D74025">
      <w:pPr>
        <w:rPr>
          <w:rFonts w:ascii="Calibri" w:hAnsi="Calibri" w:cs="Calibri"/>
        </w:rPr>
      </w:pPr>
      <w:r w:rsidRPr="00D74025">
        <w:rPr>
          <w:rFonts w:ascii="Calibri" w:hAnsi="Calibri" w:cs="Calibri"/>
        </w:rPr>
        <w:t>Transparent decision-making and open communication help strengthen legitimacy and public trust during outbreak response.</w:t>
      </w:r>
    </w:p>
    <w:p w14:paraId="3C76A5C2" w14:textId="77777777" w:rsidR="00D74025" w:rsidRPr="00D74025" w:rsidRDefault="00D74025" w:rsidP="00D74025">
      <w:pPr>
        <w:rPr>
          <w:rFonts w:ascii="Calibri" w:hAnsi="Calibri" w:cs="Calibri"/>
        </w:rPr>
      </w:pPr>
      <w:r w:rsidRPr="00D74025">
        <w:rPr>
          <w:rFonts w:ascii="Calibri" w:hAnsi="Calibri" w:cs="Calibri"/>
        </w:rPr>
        <w:pict w14:anchorId="2BA4ED6B">
          <v:rect id="_x0000_i1098" style="width:0;height:1.5pt" o:hralign="center" o:hrstd="t" o:hr="t" fillcolor="#a0a0a0" stroked="f"/>
        </w:pict>
      </w:r>
    </w:p>
    <w:p w14:paraId="2EC1E303" w14:textId="77777777" w:rsidR="00D74025" w:rsidRPr="00D74025" w:rsidRDefault="00D74025" w:rsidP="00D74025">
      <w:pPr>
        <w:rPr>
          <w:rFonts w:ascii="Calibri" w:hAnsi="Calibri" w:cs="Calibri"/>
          <w:b/>
          <w:bCs/>
        </w:rPr>
      </w:pPr>
      <w:r w:rsidRPr="00D74025">
        <w:rPr>
          <w:rFonts w:ascii="Calibri" w:hAnsi="Calibri" w:cs="Calibri"/>
          <w:b/>
          <w:bCs/>
        </w:rPr>
        <w:t>Challenges in Public Health Reporting</w:t>
      </w:r>
    </w:p>
    <w:p w14:paraId="5F2EB444" w14:textId="77777777" w:rsidR="00D74025" w:rsidRPr="00D74025" w:rsidRDefault="00D74025" w:rsidP="00D74025">
      <w:pPr>
        <w:rPr>
          <w:rFonts w:ascii="Calibri" w:hAnsi="Calibri" w:cs="Calibri"/>
        </w:rPr>
      </w:pPr>
      <w:r w:rsidRPr="00D74025">
        <w:rPr>
          <w:rFonts w:ascii="Calibri" w:hAnsi="Calibri" w:cs="Calibri"/>
        </w:rPr>
        <w:t>Several challenges affect outbreak reporting.</w:t>
      </w:r>
    </w:p>
    <w:p w14:paraId="1DC68E2A" w14:textId="77777777" w:rsidR="00D74025" w:rsidRPr="00D74025" w:rsidRDefault="00D74025" w:rsidP="00D74025">
      <w:pPr>
        <w:rPr>
          <w:rFonts w:ascii="Calibri" w:hAnsi="Calibri" w:cs="Calibri"/>
        </w:rPr>
      </w:pPr>
      <w:r w:rsidRPr="00D74025">
        <w:rPr>
          <w:rFonts w:ascii="Calibri" w:hAnsi="Calibri" w:cs="Calibri"/>
        </w:rPr>
        <w:t>Data quality issues such as incomplete records, reporting delays, inconsistent definitions, or changing surveillance systems can complicate interpretation.</w:t>
      </w:r>
    </w:p>
    <w:p w14:paraId="6548A597" w14:textId="77777777" w:rsidR="00D74025" w:rsidRPr="00D74025" w:rsidRDefault="00D74025" w:rsidP="00D74025">
      <w:pPr>
        <w:rPr>
          <w:rFonts w:ascii="Calibri" w:hAnsi="Calibri" w:cs="Calibri"/>
        </w:rPr>
      </w:pPr>
      <w:r w:rsidRPr="00D74025">
        <w:rPr>
          <w:rFonts w:ascii="Calibri" w:hAnsi="Calibri" w:cs="Calibri"/>
        </w:rPr>
        <w:t>Rapidly evolving situations may require frequent updates, increasing pressure on reporting teams and healthcare systems.</w:t>
      </w:r>
    </w:p>
    <w:p w14:paraId="2F0584DF" w14:textId="77777777" w:rsidR="00D74025" w:rsidRPr="00D74025" w:rsidRDefault="00D74025" w:rsidP="00D74025">
      <w:pPr>
        <w:rPr>
          <w:rFonts w:ascii="Calibri" w:hAnsi="Calibri" w:cs="Calibri"/>
        </w:rPr>
      </w:pPr>
      <w:r w:rsidRPr="00D74025">
        <w:rPr>
          <w:rFonts w:ascii="Calibri" w:hAnsi="Calibri" w:cs="Calibri"/>
        </w:rPr>
        <w:t>Misinformation and disinformation present additional challenges. False or misleading information can spread quickly during outbreaks, affecting public behaviour and trust.</w:t>
      </w:r>
    </w:p>
    <w:p w14:paraId="01C731E3" w14:textId="77777777" w:rsidR="00D74025" w:rsidRPr="00D74025" w:rsidRDefault="00D74025" w:rsidP="00D74025">
      <w:pPr>
        <w:rPr>
          <w:rFonts w:ascii="Calibri" w:hAnsi="Calibri" w:cs="Calibri"/>
        </w:rPr>
      </w:pPr>
      <w:r w:rsidRPr="00D74025">
        <w:rPr>
          <w:rFonts w:ascii="Calibri" w:hAnsi="Calibri" w:cs="Calibri"/>
        </w:rPr>
        <w:t>Political, social, and media pressures may also influence reporting processes and public perception.</w:t>
      </w:r>
    </w:p>
    <w:p w14:paraId="51D180E5" w14:textId="77777777" w:rsidR="00D74025" w:rsidRPr="00D74025" w:rsidRDefault="00D74025" w:rsidP="00D74025">
      <w:pPr>
        <w:rPr>
          <w:rFonts w:ascii="Calibri" w:hAnsi="Calibri" w:cs="Calibri"/>
        </w:rPr>
      </w:pPr>
      <w:r w:rsidRPr="00D74025">
        <w:rPr>
          <w:rFonts w:ascii="Calibri" w:hAnsi="Calibri" w:cs="Calibri"/>
        </w:rPr>
        <w:t>Balancing technical accuracy with accessible communication is another difficulty. Highly technical reports may be difficult for the public to understand, while overly simplified communication may omit important nuances.</w:t>
      </w:r>
    </w:p>
    <w:p w14:paraId="6D4AAA35" w14:textId="77777777" w:rsidR="00D74025" w:rsidRPr="00D74025" w:rsidRDefault="00D74025" w:rsidP="00D74025">
      <w:pPr>
        <w:rPr>
          <w:rFonts w:ascii="Calibri" w:hAnsi="Calibri" w:cs="Calibri"/>
        </w:rPr>
      </w:pPr>
      <w:r w:rsidRPr="00D74025">
        <w:rPr>
          <w:rFonts w:ascii="Calibri" w:hAnsi="Calibri" w:cs="Calibri"/>
        </w:rPr>
        <w:t>Despite these challenges, effective reporting remains essential for coordinated outbreak response.</w:t>
      </w:r>
    </w:p>
    <w:p w14:paraId="64709C00" w14:textId="77777777" w:rsidR="00D74025" w:rsidRPr="00D74025" w:rsidRDefault="003B0CCB" w:rsidP="00D74025">
      <w:pPr>
        <w:rPr>
          <w:rFonts w:ascii="Calibri" w:hAnsi="Calibri" w:cs="Calibri"/>
        </w:rPr>
      </w:pPr>
      <w:r w:rsidRPr="00D74025">
        <w:rPr>
          <w:rFonts w:ascii="Calibri" w:hAnsi="Calibri" w:cs="Calibri"/>
          <w:noProof/>
        </w:rPr>
        <w:pict w14:anchorId="7134F5B7">
          <v:rect id="_x0000_i1101" alt="" style="width:451.3pt;height:.05pt;mso-width-percent:0;mso-height-percent:0;mso-width-percent:0;mso-height-percent:0" o:hralign="center" o:hrstd="t" o:hr="t" fillcolor="#a0a0a0" stroked="f"/>
        </w:pict>
      </w:r>
    </w:p>
    <w:p w14:paraId="4F1DA9A7" w14:textId="77777777" w:rsidR="00D74025" w:rsidRPr="00D74025" w:rsidRDefault="00D74025" w:rsidP="00D74025">
      <w:pPr>
        <w:rPr>
          <w:rFonts w:ascii="Calibri" w:hAnsi="Calibri" w:cs="Calibri"/>
          <w:b/>
          <w:bCs/>
        </w:rPr>
      </w:pPr>
      <w:r w:rsidRPr="00D74025">
        <w:rPr>
          <w:rFonts w:ascii="Calibri" w:hAnsi="Calibri" w:cs="Calibri"/>
          <w:b/>
          <w:bCs/>
        </w:rPr>
        <w:t>International and Global Reporting</w:t>
      </w:r>
    </w:p>
    <w:p w14:paraId="40025CF6" w14:textId="77777777" w:rsidR="00D74025" w:rsidRPr="00D74025" w:rsidRDefault="00D74025" w:rsidP="00D74025">
      <w:pPr>
        <w:rPr>
          <w:rFonts w:ascii="Calibri" w:hAnsi="Calibri" w:cs="Calibri"/>
        </w:rPr>
      </w:pPr>
      <w:r w:rsidRPr="00D74025">
        <w:rPr>
          <w:rFonts w:ascii="Calibri" w:hAnsi="Calibri" w:cs="Calibri"/>
        </w:rPr>
        <w:t>Many outbreaks have international implications.</w:t>
      </w:r>
    </w:p>
    <w:p w14:paraId="35B5156C" w14:textId="77777777" w:rsidR="00D74025" w:rsidRPr="00D74025" w:rsidRDefault="00D74025" w:rsidP="00D74025">
      <w:pPr>
        <w:rPr>
          <w:rFonts w:ascii="Calibri" w:hAnsi="Calibri" w:cs="Calibri"/>
        </w:rPr>
      </w:pPr>
      <w:r w:rsidRPr="00D74025">
        <w:rPr>
          <w:rFonts w:ascii="Calibri" w:hAnsi="Calibri" w:cs="Calibri"/>
        </w:rPr>
        <w:t>Global travel, trade, migration, and interconnected healthcare systems mean that infectious diseases can spread rapidly across borders.</w:t>
      </w:r>
    </w:p>
    <w:p w14:paraId="7F0391B8" w14:textId="77777777" w:rsidR="00D74025" w:rsidRPr="00D74025" w:rsidRDefault="00D74025" w:rsidP="00D74025">
      <w:pPr>
        <w:rPr>
          <w:rFonts w:ascii="Calibri" w:hAnsi="Calibri" w:cs="Calibri"/>
        </w:rPr>
      </w:pPr>
      <w:r w:rsidRPr="00D74025">
        <w:rPr>
          <w:rFonts w:ascii="Calibri" w:hAnsi="Calibri" w:cs="Calibri"/>
        </w:rPr>
        <w:t>International reporting systems support early warning, information sharing, and coordinated response activities between countries and organisations.</w:t>
      </w:r>
    </w:p>
    <w:p w14:paraId="46FA369B" w14:textId="77777777" w:rsidR="00D74025" w:rsidRPr="00D74025" w:rsidRDefault="00D74025" w:rsidP="00D74025">
      <w:pPr>
        <w:rPr>
          <w:rFonts w:ascii="Calibri" w:hAnsi="Calibri" w:cs="Calibri"/>
        </w:rPr>
      </w:pPr>
      <w:r w:rsidRPr="00D74025">
        <w:rPr>
          <w:rFonts w:ascii="Calibri" w:hAnsi="Calibri" w:cs="Calibri"/>
        </w:rPr>
        <w:t>Global surveillance networks monitor emerging threats and help identify unusual disease patterns.</w:t>
      </w:r>
    </w:p>
    <w:p w14:paraId="080DAE68" w14:textId="77777777" w:rsidR="00D74025" w:rsidRPr="00D74025" w:rsidRDefault="00D74025" w:rsidP="00D74025">
      <w:pPr>
        <w:rPr>
          <w:rFonts w:ascii="Calibri" w:hAnsi="Calibri" w:cs="Calibri"/>
        </w:rPr>
      </w:pPr>
      <w:r w:rsidRPr="00D74025">
        <w:rPr>
          <w:rFonts w:ascii="Calibri" w:hAnsi="Calibri" w:cs="Calibri"/>
        </w:rPr>
        <w:t>International cooperation is especially important for outbreaks involving novel pathogens, pandemics, antimicrobial resistance, or diseases affecting multiple regions simultaneously.</w:t>
      </w:r>
    </w:p>
    <w:p w14:paraId="0FE873F2" w14:textId="77777777" w:rsidR="00D74025" w:rsidRPr="00D74025" w:rsidRDefault="00D74025" w:rsidP="00D74025">
      <w:pPr>
        <w:rPr>
          <w:rFonts w:ascii="Calibri" w:hAnsi="Calibri" w:cs="Calibri"/>
        </w:rPr>
      </w:pPr>
      <w:r w:rsidRPr="00D74025">
        <w:rPr>
          <w:rFonts w:ascii="Calibri" w:hAnsi="Calibri" w:cs="Calibri"/>
        </w:rPr>
        <w:t>Transparent and timely reporting strengthens global preparedness and contributes to collective public health security.</w:t>
      </w:r>
    </w:p>
    <w:p w14:paraId="63B4CC2D" w14:textId="77777777" w:rsidR="00D74025" w:rsidRPr="00D74025" w:rsidRDefault="003B0CCB" w:rsidP="00D74025">
      <w:pPr>
        <w:rPr>
          <w:rFonts w:ascii="Calibri" w:hAnsi="Calibri" w:cs="Calibri"/>
        </w:rPr>
      </w:pPr>
      <w:r w:rsidRPr="00D74025">
        <w:rPr>
          <w:rFonts w:ascii="Calibri" w:hAnsi="Calibri" w:cs="Calibri"/>
          <w:noProof/>
        </w:rPr>
        <w:pict w14:anchorId="17C35123">
          <v:rect id="_x0000_i1100" alt="" style="width:451.3pt;height:.05pt;mso-width-percent:0;mso-height-percent:0;mso-width-percent:0;mso-height-percent:0" o:hralign="center" o:hrstd="t" o:hr="t" fillcolor="#a0a0a0" stroked="f"/>
        </w:pict>
      </w:r>
    </w:p>
    <w:p w14:paraId="2A09BC35" w14:textId="77777777" w:rsidR="00D74025" w:rsidRPr="00D74025" w:rsidRDefault="00D74025" w:rsidP="00D74025">
      <w:pPr>
        <w:rPr>
          <w:rFonts w:ascii="Calibri" w:hAnsi="Calibri" w:cs="Calibri"/>
          <w:b/>
          <w:bCs/>
        </w:rPr>
      </w:pPr>
      <w:r w:rsidRPr="00D74025">
        <w:rPr>
          <w:rFonts w:ascii="Calibri" w:hAnsi="Calibri" w:cs="Calibri"/>
          <w:b/>
          <w:bCs/>
        </w:rPr>
        <w:t>Learning From Outbreak Reporting</w:t>
      </w:r>
    </w:p>
    <w:p w14:paraId="5285F945" w14:textId="77777777" w:rsidR="00D74025" w:rsidRPr="00D74025" w:rsidRDefault="00D74025" w:rsidP="00D74025">
      <w:pPr>
        <w:rPr>
          <w:rFonts w:ascii="Calibri" w:hAnsi="Calibri" w:cs="Calibri"/>
        </w:rPr>
      </w:pPr>
      <w:r w:rsidRPr="00D74025">
        <w:rPr>
          <w:rFonts w:ascii="Calibri" w:hAnsi="Calibri" w:cs="Calibri"/>
        </w:rPr>
        <w:t>Outbreak reporting does not end when transmission declines.</w:t>
      </w:r>
    </w:p>
    <w:p w14:paraId="78B8B8DC" w14:textId="77777777" w:rsidR="00D74025" w:rsidRPr="00D74025" w:rsidRDefault="00D74025" w:rsidP="00D74025">
      <w:pPr>
        <w:rPr>
          <w:rFonts w:ascii="Calibri" w:hAnsi="Calibri" w:cs="Calibri"/>
        </w:rPr>
      </w:pPr>
      <w:r w:rsidRPr="00D74025">
        <w:rPr>
          <w:rFonts w:ascii="Calibri" w:hAnsi="Calibri" w:cs="Calibri"/>
        </w:rPr>
        <w:t>Post-outbreak evaluation is an important part of public health learning and preparedness. Reviewing what happened, what actions were effective, and where challenges occurred helps strengthen future response systems.</w:t>
      </w:r>
    </w:p>
    <w:p w14:paraId="6198C63B" w14:textId="77777777" w:rsidR="00D74025" w:rsidRPr="00D74025" w:rsidRDefault="00D74025" w:rsidP="00D74025">
      <w:pPr>
        <w:rPr>
          <w:rFonts w:ascii="Calibri" w:hAnsi="Calibri" w:cs="Calibri"/>
        </w:rPr>
      </w:pPr>
      <w:r w:rsidRPr="00D74025">
        <w:rPr>
          <w:rFonts w:ascii="Calibri" w:hAnsi="Calibri" w:cs="Calibri"/>
        </w:rPr>
        <w:t>Lessons learned may influence surveillance systems, healthcare planning, laboratory capacity, communication strategies, workforce training, and policy development.</w:t>
      </w:r>
    </w:p>
    <w:p w14:paraId="3CF9BE71" w14:textId="77777777" w:rsidR="00D74025" w:rsidRPr="00D74025" w:rsidRDefault="00D74025" w:rsidP="00D74025">
      <w:pPr>
        <w:rPr>
          <w:rFonts w:ascii="Calibri" w:hAnsi="Calibri" w:cs="Calibri"/>
        </w:rPr>
      </w:pPr>
      <w:r w:rsidRPr="00D74025">
        <w:rPr>
          <w:rFonts w:ascii="Calibri" w:hAnsi="Calibri" w:cs="Calibri"/>
        </w:rPr>
        <w:t>Reporting also contributes to scientific understanding by documenting epidemiological patterns, intervention outcomes, and operational experiences.</w:t>
      </w:r>
    </w:p>
    <w:p w14:paraId="540BDC4D" w14:textId="77777777" w:rsidR="00D74025" w:rsidRPr="00D74025" w:rsidRDefault="00D74025" w:rsidP="00D74025">
      <w:pPr>
        <w:rPr>
          <w:rFonts w:ascii="Calibri" w:hAnsi="Calibri" w:cs="Calibri"/>
        </w:rPr>
      </w:pPr>
      <w:r w:rsidRPr="00D74025">
        <w:rPr>
          <w:rFonts w:ascii="Calibri" w:hAnsi="Calibri" w:cs="Calibri"/>
        </w:rPr>
        <w:lastRenderedPageBreak/>
        <w:t>Long-term institutional learning is essential because future outbreaks may differ significantly from previous events.</w:t>
      </w:r>
    </w:p>
    <w:p w14:paraId="660F5B59" w14:textId="77777777" w:rsidR="00D74025" w:rsidRPr="00D74025" w:rsidRDefault="003B0CCB" w:rsidP="00D74025">
      <w:pPr>
        <w:rPr>
          <w:rFonts w:ascii="Calibri" w:hAnsi="Calibri" w:cs="Calibri"/>
        </w:rPr>
      </w:pPr>
      <w:r w:rsidRPr="00D74025">
        <w:rPr>
          <w:rFonts w:ascii="Calibri" w:hAnsi="Calibri" w:cs="Calibri"/>
          <w:noProof/>
        </w:rPr>
        <w:pict w14:anchorId="3B0C7585">
          <v:rect id="_x0000_i1099" alt="" style="width:451.3pt;height:.05pt;mso-width-percent:0;mso-height-percent:0;mso-width-percent:0;mso-height-percent:0" o:hralign="center" o:hrstd="t" o:hr="t" fillcolor="#a0a0a0" stroked="f"/>
        </w:pict>
      </w:r>
    </w:p>
    <w:p w14:paraId="76305C51" w14:textId="77777777" w:rsidR="00D74025" w:rsidRPr="00D74025" w:rsidRDefault="00D74025" w:rsidP="00D74025">
      <w:pPr>
        <w:rPr>
          <w:rFonts w:ascii="Calibri" w:hAnsi="Calibri" w:cs="Calibri"/>
          <w:b/>
          <w:bCs/>
        </w:rPr>
      </w:pPr>
      <w:r w:rsidRPr="00D74025">
        <w:rPr>
          <w:rFonts w:ascii="Calibri" w:hAnsi="Calibri" w:cs="Calibri"/>
          <w:b/>
          <w:bCs/>
        </w:rPr>
        <w:t>Conclusion</w:t>
      </w:r>
    </w:p>
    <w:p w14:paraId="38527A59" w14:textId="77777777" w:rsidR="00D74025" w:rsidRPr="00D74025" w:rsidRDefault="00D74025" w:rsidP="00D74025">
      <w:pPr>
        <w:rPr>
          <w:rFonts w:ascii="Calibri" w:hAnsi="Calibri" w:cs="Calibri"/>
        </w:rPr>
      </w:pPr>
      <w:r w:rsidRPr="00D74025">
        <w:rPr>
          <w:rFonts w:ascii="Calibri" w:hAnsi="Calibri" w:cs="Calibri"/>
        </w:rPr>
        <w:t>Reporting and public health action are fundamental elements of outbreak investigation and disease control. Reporting transforms epidemiological findings into shared understanding, while public health action applies that understanding to reduce harm and protect populations.</w:t>
      </w:r>
    </w:p>
    <w:p w14:paraId="4F2C89F7" w14:textId="77777777" w:rsidR="00D74025" w:rsidRPr="00D74025" w:rsidRDefault="00D74025" w:rsidP="00D74025">
      <w:pPr>
        <w:rPr>
          <w:rFonts w:ascii="Calibri" w:hAnsi="Calibri" w:cs="Calibri"/>
        </w:rPr>
      </w:pPr>
      <w:r w:rsidRPr="00D74025">
        <w:rPr>
          <w:rFonts w:ascii="Calibri" w:hAnsi="Calibri" w:cs="Calibri"/>
        </w:rPr>
        <w:t>Effective reporting requires accuracy, transparency, ethical awareness, and clear communication across diverse audiences and rapidly changing conditions.</w:t>
      </w:r>
    </w:p>
    <w:p w14:paraId="7AB59634" w14:textId="77777777" w:rsidR="00D74025" w:rsidRPr="00D74025" w:rsidRDefault="00D74025" w:rsidP="00D74025">
      <w:pPr>
        <w:rPr>
          <w:rFonts w:ascii="Calibri" w:hAnsi="Calibri" w:cs="Calibri"/>
        </w:rPr>
      </w:pPr>
      <w:r w:rsidRPr="00D74025">
        <w:rPr>
          <w:rFonts w:ascii="Calibri" w:hAnsi="Calibri" w:cs="Calibri"/>
        </w:rPr>
        <w:t>Public health actions must be evidence-informed, proportionate, adaptable, and responsive to both epidemiological and societal realities.</w:t>
      </w:r>
    </w:p>
    <w:p w14:paraId="2350420D" w14:textId="77777777" w:rsidR="00D74025" w:rsidRPr="00D74025" w:rsidRDefault="00D74025" w:rsidP="00D74025">
      <w:pPr>
        <w:rPr>
          <w:rFonts w:ascii="Calibri" w:hAnsi="Calibri" w:cs="Calibri"/>
        </w:rPr>
      </w:pPr>
      <w:r w:rsidRPr="00D74025">
        <w:rPr>
          <w:rFonts w:ascii="Calibri" w:hAnsi="Calibri" w:cs="Calibri"/>
        </w:rPr>
        <w:t>Together, reporting and action support coordinated outbreak response, strengthen public trust, and contribute to long-term preparedness for future public health emergencies.</w:t>
      </w:r>
    </w:p>
    <w:p w14:paraId="08AB3475" w14:textId="77777777" w:rsidR="00F9039A" w:rsidRPr="00641CD2" w:rsidRDefault="00F9039A">
      <w:pPr>
        <w:rPr>
          <w:rFonts w:ascii="Calibri" w:hAnsi="Calibri" w:cs="Calibri"/>
        </w:rPr>
      </w:pPr>
    </w:p>
    <w:sectPr w:rsidR="00F9039A" w:rsidRPr="00641C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F1608C"/>
    <w:multiLevelType w:val="multilevel"/>
    <w:tmpl w:val="56D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01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1D"/>
    <w:rsid w:val="00016BF2"/>
    <w:rsid w:val="000F66A9"/>
    <w:rsid w:val="003B0CCB"/>
    <w:rsid w:val="00641CD2"/>
    <w:rsid w:val="006F7057"/>
    <w:rsid w:val="00A14A18"/>
    <w:rsid w:val="00B1271D"/>
    <w:rsid w:val="00D74025"/>
    <w:rsid w:val="00F903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B0F7"/>
  <w15:chartTrackingRefBased/>
  <w15:docId w15:val="{5714D49E-9F37-564C-8323-FEEEAC5E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2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7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7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7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7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2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71D"/>
    <w:rPr>
      <w:rFonts w:eastAsiaTheme="majorEastAsia" w:cstheme="majorBidi"/>
      <w:color w:val="272727" w:themeColor="text1" w:themeTint="D8"/>
    </w:rPr>
  </w:style>
  <w:style w:type="paragraph" w:styleId="Title">
    <w:name w:val="Title"/>
    <w:basedOn w:val="Normal"/>
    <w:next w:val="Normal"/>
    <w:link w:val="TitleChar"/>
    <w:uiPriority w:val="10"/>
    <w:qFormat/>
    <w:rsid w:val="00B127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7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7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271D"/>
    <w:rPr>
      <w:i/>
      <w:iCs/>
      <w:color w:val="404040" w:themeColor="text1" w:themeTint="BF"/>
    </w:rPr>
  </w:style>
  <w:style w:type="paragraph" w:styleId="ListParagraph">
    <w:name w:val="List Paragraph"/>
    <w:basedOn w:val="Normal"/>
    <w:uiPriority w:val="34"/>
    <w:qFormat/>
    <w:rsid w:val="00B1271D"/>
    <w:pPr>
      <w:ind w:left="720"/>
      <w:contextualSpacing/>
    </w:pPr>
  </w:style>
  <w:style w:type="character" w:styleId="IntenseEmphasis">
    <w:name w:val="Intense Emphasis"/>
    <w:basedOn w:val="DefaultParagraphFont"/>
    <w:uiPriority w:val="21"/>
    <w:qFormat/>
    <w:rsid w:val="00B1271D"/>
    <w:rPr>
      <w:i/>
      <w:iCs/>
      <w:color w:val="0F4761" w:themeColor="accent1" w:themeShade="BF"/>
    </w:rPr>
  </w:style>
  <w:style w:type="paragraph" w:styleId="IntenseQuote">
    <w:name w:val="Intense Quote"/>
    <w:basedOn w:val="Normal"/>
    <w:next w:val="Normal"/>
    <w:link w:val="IntenseQuoteChar"/>
    <w:uiPriority w:val="30"/>
    <w:qFormat/>
    <w:rsid w:val="00B12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71D"/>
    <w:rPr>
      <w:i/>
      <w:iCs/>
      <w:color w:val="0F4761" w:themeColor="accent1" w:themeShade="BF"/>
    </w:rPr>
  </w:style>
  <w:style w:type="character" w:styleId="IntenseReference">
    <w:name w:val="Intense Reference"/>
    <w:basedOn w:val="DefaultParagraphFont"/>
    <w:uiPriority w:val="32"/>
    <w:qFormat/>
    <w:rsid w:val="00B12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996247">
      <w:bodyDiv w:val="1"/>
      <w:marLeft w:val="0"/>
      <w:marRight w:val="0"/>
      <w:marTop w:val="0"/>
      <w:marBottom w:val="0"/>
      <w:divBdr>
        <w:top w:val="none" w:sz="0" w:space="0" w:color="auto"/>
        <w:left w:val="none" w:sz="0" w:space="0" w:color="auto"/>
        <w:bottom w:val="none" w:sz="0" w:space="0" w:color="auto"/>
        <w:right w:val="none" w:sz="0" w:space="0" w:color="auto"/>
      </w:divBdr>
    </w:div>
    <w:div w:id="602568817">
      <w:bodyDiv w:val="1"/>
      <w:marLeft w:val="0"/>
      <w:marRight w:val="0"/>
      <w:marTop w:val="0"/>
      <w:marBottom w:val="0"/>
      <w:divBdr>
        <w:top w:val="none" w:sz="0" w:space="0" w:color="auto"/>
        <w:left w:val="none" w:sz="0" w:space="0" w:color="auto"/>
        <w:bottom w:val="none" w:sz="0" w:space="0" w:color="auto"/>
        <w:right w:val="none" w:sz="0" w:space="0" w:color="auto"/>
      </w:divBdr>
    </w:div>
    <w:div w:id="1322654585">
      <w:bodyDiv w:val="1"/>
      <w:marLeft w:val="0"/>
      <w:marRight w:val="0"/>
      <w:marTop w:val="0"/>
      <w:marBottom w:val="0"/>
      <w:divBdr>
        <w:top w:val="none" w:sz="0" w:space="0" w:color="auto"/>
        <w:left w:val="none" w:sz="0" w:space="0" w:color="auto"/>
        <w:bottom w:val="none" w:sz="0" w:space="0" w:color="auto"/>
        <w:right w:val="none" w:sz="0" w:space="0" w:color="auto"/>
      </w:divBdr>
    </w:div>
    <w:div w:id="159424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1960</Words>
  <Characters>11178</Characters>
  <Application>Microsoft Office Word</Application>
  <DocSecurity>0</DocSecurity>
  <Lines>93</Lines>
  <Paragraphs>26</Paragraphs>
  <ScaleCrop>false</ScaleCrop>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Wong</dc:creator>
  <cp:keywords/>
  <dc:description/>
  <cp:lastModifiedBy>Jon Wong</cp:lastModifiedBy>
  <cp:revision>4</cp:revision>
  <dcterms:created xsi:type="dcterms:W3CDTF">2026-04-14T12:30:00Z</dcterms:created>
  <dcterms:modified xsi:type="dcterms:W3CDTF">2026-05-07T08:13:00Z</dcterms:modified>
</cp:coreProperties>
</file>