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 Glossary</w:t>
      </w:r>
    </w:p>
    <w:p>
      <w:pPr>
        <w:spacing w:after="240"/>
      </w:pPr>
      <w:r>
        <w:t>This glossary defines key terms used in the outbreak investigation and vaccine-effectiveness course. Use your browser’s page-search function to locate a particular term quickly.</w:t>
      </w:r>
    </w:p>
    <w:p>
      <w:pPr>
        <w:pStyle w:val="Heading1"/>
      </w:pPr>
      <w:r>
        <w:t>A</w:t>
      </w:r>
    </w:p>
    <w:p>
      <w:pPr>
        <w:pStyle w:val="Heading2"/>
      </w:pPr>
      <w:r>
        <w:t>Attack rate</w:t>
      </w:r>
    </w:p>
    <w:p>
      <w:pPr>
        <w:keepLines/>
        <w:spacing w:after="100"/>
      </w:pPr>
      <w:r>
        <w:t>The proportion of an at-risk population that develops the disease during a specified outbreak period.</w:t>
      </w:r>
    </w:p>
    <w:p>
      <w:pPr>
        <w:pStyle w:val="Heading1"/>
      </w:pPr>
      <w:r>
        <w:t>B</w:t>
      </w:r>
    </w:p>
    <w:p>
      <w:pPr>
        <w:pStyle w:val="Heading2"/>
      </w:pPr>
      <w:r>
        <w:t>Basic reproduction number (R₀)</w:t>
      </w:r>
    </w:p>
    <w:p>
      <w:pPr>
        <w:keepLines/>
        <w:spacing w:after="100"/>
      </w:pPr>
      <w:r>
        <w:t>The average number of secondary infections generated by one typical infectious person in a fully susceptible population without control measures.</w:t>
      </w:r>
    </w:p>
    <w:p>
      <w:pPr>
        <w:pStyle w:val="Heading1"/>
      </w:pPr>
      <w:r>
        <w:t>C</w:t>
      </w:r>
    </w:p>
    <w:p>
      <w:pPr>
        <w:pStyle w:val="Heading2"/>
      </w:pPr>
      <w:r>
        <w:t>Case definition</w:t>
      </w:r>
    </w:p>
    <w:p>
      <w:pPr>
        <w:keepLines/>
        <w:spacing w:after="100"/>
      </w:pPr>
      <w:r>
        <w:t>A standard set of clinical, laboratory, person, place and time criteria used to decide whether an individual should be classified as a case for an investigation.</w:t>
      </w:r>
    </w:p>
    <w:p>
      <w:pPr>
        <w:pStyle w:val="Heading2"/>
      </w:pPr>
      <w:r>
        <w:t>Confirmed case</w:t>
      </w:r>
    </w:p>
    <w:p>
      <w:pPr>
        <w:keepLines/>
        <w:spacing w:after="100"/>
      </w:pPr>
      <w:r>
        <w:t>A person who meets the investigation’s definitive confirmation criteria, commonly based on an appropriate laboratory test.</w:t>
      </w:r>
    </w:p>
    <w:p>
      <w:pPr>
        <w:pStyle w:val="Heading2"/>
      </w:pPr>
      <w:r>
        <w:t>Contact tracing</w:t>
      </w:r>
    </w:p>
    <w:p>
      <w:pPr>
        <w:keepLines/>
        <w:spacing w:after="100"/>
      </w:pPr>
      <w:r>
        <w:t>The process of identifying, assessing and managing people who may have been exposed to an infectious case.</w:t>
      </w:r>
    </w:p>
    <w:p>
      <w:pPr>
        <w:pStyle w:val="Heading1"/>
      </w:pPr>
      <w:r>
        <w:t>E</w:t>
      </w:r>
    </w:p>
    <w:p>
      <w:pPr>
        <w:pStyle w:val="Heading2"/>
      </w:pPr>
      <w:r>
        <w:t>Epidemic curve</w:t>
      </w:r>
    </w:p>
    <w:p>
      <w:pPr>
        <w:keepLines/>
        <w:spacing w:after="100"/>
      </w:pPr>
      <w:r>
        <w:t>A graph showing the number of outbreak cases by time of symptom onset, usually presented as a histogram.</w:t>
      </w:r>
    </w:p>
    <w:p>
      <w:pPr>
        <w:pStyle w:val="Heading1"/>
      </w:pPr>
      <w:r>
        <w:t>I</w:t>
      </w:r>
    </w:p>
    <w:p>
      <w:pPr>
        <w:pStyle w:val="Heading2"/>
      </w:pPr>
      <w:r>
        <w:t>Incubation period</w:t>
      </w:r>
    </w:p>
    <w:p>
      <w:pPr>
        <w:keepLines/>
        <w:spacing w:after="100"/>
      </w:pPr>
      <w:r>
        <w:t>The interval between infection or exposure to an infectious agent and the onset of symptoms.</w:t>
      </w:r>
    </w:p>
    <w:p>
      <w:pPr>
        <w:pStyle w:val="Heading2"/>
      </w:pPr>
      <w:r>
        <w:t>Index case</w:t>
      </w:r>
    </w:p>
    <w:p>
      <w:pPr>
        <w:keepLines/>
        <w:spacing w:after="100"/>
      </w:pPr>
      <w:r>
        <w:t>The first case identified by investigators in an outbreak or cluster; it is not necessarily the first person infected.</w:t>
      </w:r>
    </w:p>
    <w:p>
      <w:pPr>
        <w:pStyle w:val="Heading2"/>
      </w:pPr>
      <w:r>
        <w:t>Infectious period</w:t>
      </w:r>
    </w:p>
    <w:p>
      <w:pPr>
        <w:keepLines/>
        <w:spacing w:after="100"/>
      </w:pPr>
      <w:r>
        <w:t>The period during which an infected person can transmit the infectious agent to others.</w:t>
      </w:r>
    </w:p>
    <w:p>
      <w:pPr>
        <w:pStyle w:val="Heading1"/>
      </w:pPr>
      <w:r>
        <w:t>O</w:t>
      </w:r>
    </w:p>
    <w:p>
      <w:pPr>
        <w:pStyle w:val="Heading2"/>
      </w:pPr>
      <w:r>
        <w:t>Outbreak</w:t>
      </w:r>
    </w:p>
    <w:p>
      <w:pPr>
        <w:keepLines/>
        <w:spacing w:after="100"/>
      </w:pPr>
      <w:r>
        <w:t>The occurrence of disease cases above the number normally expected in a defined population, place and period.</w:t>
      </w:r>
    </w:p>
    <w:p>
      <w:pPr>
        <w:pStyle w:val="Heading1"/>
      </w:pPr>
      <w:r>
        <w:t>R</w:t>
      </w:r>
    </w:p>
    <w:p>
      <w:pPr>
        <w:pStyle w:val="Heading2"/>
      </w:pPr>
      <w:r>
        <w:t>Relative risk</w:t>
      </w:r>
    </w:p>
    <w:p>
      <w:pPr>
        <w:keepLines/>
        <w:spacing w:after="100"/>
      </w:pPr>
      <w:r>
        <w:t>The risk of disease in one group divided by the risk of disease in a comparison group.</w:t>
      </w:r>
    </w:p>
    <w:p>
      <w:pPr>
        <w:pStyle w:val="Heading1"/>
      </w:pPr>
      <w:r>
        <w:t>S</w:t>
      </w:r>
    </w:p>
    <w:p>
      <w:pPr>
        <w:pStyle w:val="Heading2"/>
      </w:pPr>
      <w:r>
        <w:t>Secondary attack rate</w:t>
      </w:r>
    </w:p>
    <w:p>
      <w:pPr>
        <w:keepLines/>
        <w:spacing w:after="100"/>
      </w:pPr>
      <w:r>
        <w:t>The proportion of susceptible contacts who develop disease following exposure to a primary case within an appropriate incubation period.</w:t>
      </w:r>
    </w:p>
    <w:p>
      <w:pPr>
        <w:pStyle w:val="Heading2"/>
      </w:pPr>
      <w:r>
        <w:t>Suspected case</w:t>
      </w:r>
    </w:p>
    <w:p>
      <w:pPr>
        <w:keepLines/>
        <w:spacing w:after="100"/>
      </w:pPr>
      <w:r>
        <w:t>A person who meets specified clinical or epidemiological criteria for the disease but has not yet met the criteria for confirmation.</w:t>
      </w:r>
    </w:p>
    <w:p>
      <w:pPr>
        <w:pStyle w:val="Heading1"/>
      </w:pPr>
      <w:r>
        <w:t>V</w:t>
      </w:r>
    </w:p>
    <w:p>
      <w:pPr>
        <w:pStyle w:val="Heading2"/>
      </w:pPr>
      <w:r>
        <w:t>Vaccine effectiveness</w:t>
      </w:r>
    </w:p>
    <w:p>
      <w:pPr>
        <w:keepLines/>
        <w:spacing w:after="100"/>
      </w:pPr>
      <w:r>
        <w:t>The percentage reduction in disease risk among vaccinated people compared with unvaccinated people under real-world conditions. It is commonly calculated as (1 − relative risk) × 100.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