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ptos" w:hAnsi="Aptos" w:eastAsia="Aptos"/>
          <w:b/>
          <w:color w:val="1B7A78"/>
          <w:sz w:val="18"/>
        </w:rPr>
        <w:t>УКРАЇНСЬКА ВЕРСІЯ</w:t>
      </w:r>
    </w:p>
    <w:p>
      <w:pPr>
        <w:spacing w:after="80"/>
        <w:pBdr>
          <w:bottom w:val="single" w:sz="18" w:space="1" w:color="C58A2A"/>
        </w:pBdr>
      </w:pPr>
    </w:p>
    <w:p>
      <w:pPr>
        <w:pStyle w:val="Title"/>
        <w:jc w:val="left"/>
      </w:pPr>
      <w:r>
        <w:rPr>
          <w:rFonts w:ascii="Aptos Display" w:hAnsi="Aptos Display" w:eastAsia="Aptos Display"/>
          <w:b/>
          <w:color w:val="0E2238"/>
          <w:sz w:val="56"/>
        </w:rPr>
        <w:t>TREASURE NETWORK</w:t>
      </w:r>
    </w:p>
    <w:p>
      <w:pPr>
        <w:pStyle w:val="Subtitle"/>
      </w:pPr>
      <w:r>
        <w:rPr>
          <w:rFonts w:ascii="Aptos" w:hAnsi="Aptos" w:eastAsia="Aptos"/>
          <w:b/>
          <w:color w:val="1F5A7A"/>
          <w:sz w:val="28"/>
        </w:rPr>
        <w:t>Живі люди шукають «скарби» на сайті, вивчають його та показують, що заважає продажам і зростанню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4DE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0E2238"/>
                <w:sz w:val="22"/>
              </w:rPr>
              <w:t>Головна ідея проєкту: не порожні перегляди, а ігрове дослідження сайту з підтвердженою людською увагою.</w:t>
            </w:r>
          </w:p>
        </w:tc>
      </w:tr>
    </w:tbl>
    <w:p>
      <w:pPr>
        <w:spacing w:after="0"/>
      </w:pPr>
    </w:p>
    <w:p>
      <w:pPr>
        <w:spacing w:before="120" w:after="200"/>
      </w:pPr>
      <w:r>
        <w:rPr>
          <w:rFonts w:ascii="Aptos" w:hAnsi="Aptos" w:eastAsia="Aptos"/>
          <w:color w:val="1C2933"/>
          <w:sz w:val="23"/>
        </w:rPr>
        <w:t>Treasure Network перетворює звичайне відвідування сайту на змістовний маршрут. Учасник отримує завдання, шукає підказки й цифровий «скарб», читає сторінки, переходить між розділами, відповідає на контрольні запитання та залишає відгук. Клієнт отримує реальну залученість, дані про поведінку відвідувачів і зрозумілий план покращень.</w:t>
      </w:r>
    </w:p>
    <w:p>
      <w:pPr>
        <w:pStyle w:val="Heading1"/>
      </w:pPr>
      <w:r>
        <w:t>1. Скарби всередині сайту — ядро Treasure Network</w:t>
      </w:r>
    </w:p>
    <w:p>
      <w:r>
        <w:rPr>
          <w:rFonts w:ascii="Aptos" w:hAnsi="Aptos" w:eastAsia="Aptos"/>
          <w:sz w:val="21"/>
        </w:rPr>
        <w:t>Клієнт обирає сторінки, товари, послуги або матеріали, які важливо показати аудиторії. Ми перетворюємо їх на маршрут із завданнями та винагородою:</w:t>
      </w:r>
    </w:p>
    <w:p>
      <w:pPr>
        <w:spacing w:after="80"/>
        <w:ind w:left="504" w:hanging="403"/>
      </w:pPr>
      <w:r>
        <w:rPr>
          <w:rFonts w:ascii="Aptos" w:hAnsi="Aptos" w:eastAsia="Aptos"/>
          <w:b/>
          <w:color w:val="C58A2A"/>
        </w:rPr>
        <w:t xml:space="preserve">1. </w:t>
      </w:r>
      <w:r>
        <w:rPr>
          <w:rFonts w:ascii="Aptos" w:hAnsi="Aptos" w:eastAsia="Aptos"/>
        </w:rPr>
        <w:t>На сайті розміщуються підказки, коди, символи, факти, фрази, купони або інші елементи «скарбу».</w:t>
      </w:r>
    </w:p>
    <w:p>
      <w:pPr>
        <w:spacing w:after="80"/>
        <w:ind w:left="504" w:hanging="403"/>
      </w:pPr>
      <w:r>
        <w:rPr>
          <w:rFonts w:ascii="Aptos" w:hAnsi="Aptos" w:eastAsia="Aptos"/>
          <w:b/>
          <w:color w:val="C58A2A"/>
        </w:rPr>
        <w:t xml:space="preserve">2. </w:t>
      </w:r>
      <w:r>
        <w:rPr>
          <w:rFonts w:ascii="Aptos" w:hAnsi="Aptos" w:eastAsia="Aptos"/>
        </w:rPr>
        <w:t>Учасники отримують зрозумілий сценарій: знайти інформацію, пройти кілька сторінок, порівняти пропозиції, відповісти на запитання та знайти фінальний ключ.</w:t>
      </w:r>
    </w:p>
    <w:p>
      <w:pPr>
        <w:spacing w:after="80"/>
        <w:ind w:left="504" w:hanging="403"/>
      </w:pPr>
      <w:r>
        <w:rPr>
          <w:rFonts w:ascii="Aptos" w:hAnsi="Aptos" w:eastAsia="Aptos"/>
          <w:b/>
          <w:color w:val="C58A2A"/>
        </w:rPr>
        <w:t xml:space="preserve">3. </w:t>
      </w:r>
      <w:r>
        <w:rPr>
          <w:rFonts w:ascii="Aptos" w:hAnsi="Aptos" w:eastAsia="Aptos"/>
        </w:rPr>
        <w:t>Система фіксує активну взаємодію: переглянуті сторінки, глибину прокрутки, переходи, час активної вкладки, відповіді та виконання цілі.</w:t>
      </w:r>
    </w:p>
    <w:p>
      <w:pPr>
        <w:spacing w:after="80"/>
        <w:ind w:left="504" w:hanging="403"/>
      </w:pPr>
      <w:r>
        <w:rPr>
          <w:rFonts w:ascii="Aptos" w:hAnsi="Aptos" w:eastAsia="Aptos"/>
          <w:b/>
          <w:color w:val="C58A2A"/>
        </w:rPr>
        <w:t xml:space="preserve">4. </w:t>
      </w:r>
      <w:r>
        <w:rPr>
          <w:rFonts w:ascii="Aptos" w:hAnsi="Aptos" w:eastAsia="Aptos"/>
        </w:rPr>
        <w:t>Після перевірки учасник отримує винагороду, а клієнт — звіт, коментарі та рекомендації щодо покращення сайту.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5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0E2238"/>
                <w:sz w:val="22"/>
              </w:rPr>
              <w:t>Квест можна побудувати навколо товару, статті, тарифу, нового розділу, мобільної версії, реєстрації, форми заявки або всієї воронки.</w:t>
            </w:r>
          </w:p>
        </w:tc>
      </w:tr>
    </w:tbl>
    <w:p>
      <w:pPr>
        <w:spacing w:after="0"/>
      </w:pPr>
    </w:p>
    <w:p>
      <w:pPr>
        <w:pStyle w:val="Heading1"/>
      </w:pPr>
      <w:r>
        <w:t>2. Чим це корисно сайту клієнта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На сайт приходять реальні люди, а не боти та не порожні автоматичні перегляди.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Зростає кількість змістовних переходів між сторінками та глибина перегляду.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Користувачі проводять більше активного часу з контентом, оскільки шукають конкретні відповіді й підказки.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Сторінки послуг, картки товарів, статті, FAQ та важливі розділи отримують реальну увагу.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Клієнт бачить, які сторінки утримують людей, де вони плутаються та на якому кроці йдуть.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Внутрішні посилання й навігація перевіряються у реальному користувацькому сценарії.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Ігрова механіка може підвищувати повернення, запам’ятовуваність бренду та інтерес до нових матеріалів.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Збираються ідеї для нових статей, FAQ, фільтрів, карток товарів і покращень інтерфейсу.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До запуску платної реклами можна знайти проблеми, які інакше спалять рекламний бюджет.</w:t>
      </w:r>
    </w:p>
    <w:p>
      <w:r>
        <w:rPr>
          <w:rFonts w:ascii="Aptos" w:hAnsi="Aptos" w:eastAsia="Aptos"/>
          <w:b/>
          <w:color w:val="0E2238"/>
          <w:sz w:val="20"/>
        </w:rPr>
        <w:t>Пошукова видимість і поведінкові сигнали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Пошукові системи використовують багато сигналів якості, релевантності, технічного стану та задоволеності користувачів; деталі алгоритмів відрізняються.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Bing у своїх інструментах для вебмайстрів прямо розглядає CTR, показник відмов і час на сайті як корисні показники залученості для SEO-аналізу.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Yandex настільки серйозно ставиться до поведінкової статистики, що окремо забороняє її штучну імітацію. Тому Treasure Network будується на реальних завданнях і справжньому інтересі, а не на фальшивих переходах із пошуку.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Google не підтверджує, що показники Google Analytics на кшталт тривалості сеансу або bounce rate є прямими важелями ранжування. Він рекомендує корисний контент, хорошу мобільну версію, швидкість і якісний користувацький досвід.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Практичний ефект Treasure Network — не обіцянка конкретної позиції, а зростання реальної залученості, виявлення слабких місць і подальше покращення сторінок, контенту, швидкості, структури та конверсії.</w:t>
      </w:r>
    </w:p>
    <w:p>
      <w:pPr>
        <w:pStyle w:val="SmallNote"/>
      </w:pPr>
      <w:r>
        <w:t>Важливо: ми не даємо учасникам завдання вводити певний запит у пошуковій системі та клікати потрібний результат. Ми не гарантуємо позиції й не імітуємо пошуковий трафік. Кампанії приводять людей на дозволені сторінки напряму або через погоджені канали.</w:t>
      </w:r>
    </w:p>
    <w:p>
      <w:pPr>
        <w:pStyle w:val="Heading1"/>
      </w:pPr>
      <w:r>
        <w:t>3. Що ми вимірюємо та перевіряємо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3F6F8"/>
            <w:tcMar>
              <w:top w:w="130" w:type="dxa"/>
              <w:start w:w="150" w:type="dxa"/>
              <w:bottom w:w="130" w:type="dxa"/>
              <w:end w:w="15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1F5A7A"/>
                <w:sz w:val="22"/>
              </w:rPr>
              <w:t>Підтверджена увага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1C2933"/>
                <w:sz w:val="19"/>
              </w:rPr>
              <w:t>Активний час, видимість вкладки, прокрутка, перегляд змістових блоків і відсутність простого «відкрити та забути».</w:t>
            </w:r>
          </w:p>
        </w:tc>
        <w:tc>
          <w:tcPr>
            <w:tcW w:type="dxa" w:w="5112"/>
            <w:shd w:fill="F8FAFB"/>
            <w:tcMar>
              <w:top w:w="130" w:type="dxa"/>
              <w:start w:w="150" w:type="dxa"/>
              <w:bottom w:w="130" w:type="dxa"/>
              <w:end w:w="15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1F5A7A"/>
                <w:sz w:val="22"/>
              </w:rPr>
              <w:t>Глибина й маршрут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1C2933"/>
                <w:sz w:val="19"/>
              </w:rPr>
              <w:t>Кількість переглянутих сторінок, переходи, внутрішні посилання, знайдені підказки та успішність проходження сценарію.</w:t>
            </w:r>
          </w:p>
        </w:tc>
      </w:tr>
      <w:tr>
        <w:tc>
          <w:tcPr>
            <w:tcW w:type="dxa" w:w="5112"/>
            <w:shd w:fill="F3F6F8"/>
            <w:tcMar>
              <w:top w:w="130" w:type="dxa"/>
              <w:start w:w="150" w:type="dxa"/>
              <w:bottom w:w="130" w:type="dxa"/>
              <w:end w:w="15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1F5A7A"/>
                <w:sz w:val="22"/>
              </w:rPr>
              <w:t>Розуміння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1C2933"/>
                <w:sz w:val="19"/>
              </w:rPr>
              <w:t>Що людина зрозуміла про компанію, продукт, ціну, доставку, тарифи та головну перевагу.</w:t>
            </w:r>
          </w:p>
        </w:tc>
        <w:tc>
          <w:tcPr>
            <w:tcW w:type="dxa" w:w="5112"/>
            <w:shd w:fill="F8FAFB"/>
            <w:tcMar>
              <w:top w:w="130" w:type="dxa"/>
              <w:start w:w="150" w:type="dxa"/>
              <w:bottom w:w="130" w:type="dxa"/>
              <w:end w:w="15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1F5A7A"/>
                <w:sz w:val="22"/>
              </w:rPr>
              <w:t>Конверсія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1C2933"/>
                <w:sz w:val="19"/>
              </w:rPr>
              <w:t>Де відвідувач зупинився перед реєстрацією, заявкою, кошиком, оплатою або іншою цільовою дією.</w:t>
            </w:r>
          </w:p>
        </w:tc>
      </w:tr>
      <w:tr>
        <w:tc>
          <w:tcPr>
            <w:tcW w:type="dxa" w:w="5112"/>
            <w:shd w:fill="F3F6F8"/>
            <w:tcMar>
              <w:top w:w="130" w:type="dxa"/>
              <w:start w:w="150" w:type="dxa"/>
              <w:bottom w:w="130" w:type="dxa"/>
              <w:end w:w="15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1F5A7A"/>
                <w:sz w:val="22"/>
              </w:rPr>
              <w:t>Зручність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1C2933"/>
                <w:sz w:val="19"/>
              </w:rPr>
              <w:t>Мобільна версія, меню, пошук, фільтри, форми, кнопки, швидкість і зрозумілість інтерфейсу.</w:t>
            </w:r>
          </w:p>
        </w:tc>
        <w:tc>
          <w:tcPr>
            <w:tcW w:type="dxa" w:w="5112"/>
            <w:shd w:fill="F8FAFB"/>
            <w:tcMar>
              <w:top w:w="130" w:type="dxa"/>
              <w:start w:w="150" w:type="dxa"/>
              <w:bottom w:w="130" w:type="dxa"/>
              <w:end w:w="15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1F5A7A"/>
                <w:sz w:val="22"/>
              </w:rPr>
              <w:t>Зворотний зв’язок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1C2933"/>
                <w:sz w:val="19"/>
              </w:rPr>
              <w:t>Коментарі, знайдені помилки, причини недовіри, запитання та пропозиції реальних учасників.</w:t>
            </w:r>
          </w:p>
        </w:tc>
      </w:tr>
    </w:tbl>
    <w:p>
      <w:pPr>
        <w:pStyle w:val="Heading1"/>
      </w:pPr>
      <w:r>
        <w:t>4. Не лише квест: повний цикл покращення сайту</w:t>
      </w:r>
    </w:p>
    <w:p>
      <w:r>
        <w:t>Після дослідження клієнту не потрібно окремо шукати SEO-фахівця, автора, розробника та аналітика. Ми можемо впровадити все знайдене під ключ і підключити пов’язані проєкти нашої екосистеми.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3F6F8"/>
            <w:tcMar>
              <w:top w:w="130" w:type="dxa"/>
              <w:start w:w="150" w:type="dxa"/>
              <w:bottom w:w="130" w:type="dxa"/>
              <w:end w:w="15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1F5A7A"/>
                <w:sz w:val="22"/>
              </w:rPr>
              <w:t>Повний SEO-аудит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1C2933"/>
                <w:sz w:val="19"/>
              </w:rPr>
              <w:t>Індексація, технічні помилки, структура, метатеги, внутрішні посилання, швидкість, Core Web Vitals, дублікати, canonical, sitemap, robots і пошукова видимість.</w:t>
            </w:r>
          </w:p>
        </w:tc>
        <w:tc>
          <w:tcPr>
            <w:tcW w:type="dxa" w:w="5112"/>
            <w:shd w:fill="F8FAFB"/>
            <w:tcMar>
              <w:top w:w="130" w:type="dxa"/>
              <w:start w:w="150" w:type="dxa"/>
              <w:bottom w:w="130" w:type="dxa"/>
              <w:end w:w="15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1F5A7A"/>
                <w:sz w:val="22"/>
              </w:rPr>
              <w:t>Семантика й контент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1C2933"/>
                <w:sz w:val="19"/>
              </w:rPr>
              <w:t>Семантичний план, корисні SEO-статті, сторінки послуг, посадкові сторінки, картки товарів, категорії, FAQ і контентні кластери.</w:t>
            </w:r>
          </w:p>
        </w:tc>
      </w:tr>
      <w:tr>
        <w:tc>
          <w:tcPr>
            <w:tcW w:type="dxa" w:w="5112"/>
            <w:shd w:fill="F3F6F8"/>
            <w:tcMar>
              <w:top w:w="130" w:type="dxa"/>
              <w:start w:w="150" w:type="dxa"/>
              <w:bottom w:w="130" w:type="dxa"/>
              <w:end w:w="15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1F5A7A"/>
                <w:sz w:val="22"/>
              </w:rPr>
              <w:t>UX і конверсія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1C2933"/>
                <w:sz w:val="19"/>
              </w:rPr>
              <w:t>Зрозумілість першого екрана, навігація, мобільна версія, форми, воронка, довіра, CTA, A/B-гіпотези та повторне тестування.</w:t>
            </w:r>
          </w:p>
        </w:tc>
        <w:tc>
          <w:tcPr>
            <w:tcW w:type="dxa" w:w="5112"/>
            <w:shd w:fill="F8FAFB"/>
            <w:tcMar>
              <w:top w:w="130" w:type="dxa"/>
              <w:start w:w="150" w:type="dxa"/>
              <w:bottom w:w="130" w:type="dxa"/>
              <w:end w:w="15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1F5A7A"/>
                <w:sz w:val="22"/>
              </w:rPr>
              <w:t>Розробка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1C2933"/>
                <w:sz w:val="19"/>
              </w:rPr>
              <w:t>WordPress, WooCommerce, Shopify, кастомні сайти, виправлення помилок, нові розділи, інтеграції, прискорення й адаптивність.</w:t>
            </w:r>
          </w:p>
        </w:tc>
      </w:tr>
      <w:tr>
        <w:tc>
          <w:tcPr>
            <w:tcW w:type="dxa" w:w="5112"/>
            <w:shd w:fill="F3F6F8"/>
            <w:tcMar>
              <w:top w:w="130" w:type="dxa"/>
              <w:start w:w="150" w:type="dxa"/>
              <w:bottom w:w="130" w:type="dxa"/>
              <w:end w:w="15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1F5A7A"/>
                <w:sz w:val="22"/>
              </w:rPr>
              <w:t>Аналітика й автоматизація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1C2933"/>
                <w:sz w:val="19"/>
              </w:rPr>
              <w:t>Події, воронки, звіти, сповіщення, автоматизація контенту, AI-помічники, публікації та інтеграції.</w:t>
            </w:r>
          </w:p>
        </w:tc>
        <w:tc>
          <w:tcPr>
            <w:tcW w:type="dxa" w:w="5112"/>
            <w:shd w:fill="F8FAFB"/>
            <w:tcMar>
              <w:top w:w="130" w:type="dxa"/>
              <w:start w:w="150" w:type="dxa"/>
              <w:bottom w:w="130" w:type="dxa"/>
              <w:end w:w="15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1F5A7A"/>
                <w:sz w:val="22"/>
              </w:rPr>
              <w:t>Комунікація та продажі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1C2933"/>
                <w:sz w:val="19"/>
              </w:rPr>
              <w:t>Підключення Clients.Help, Telegram-комунікації, форми захоплення, follow-up, контент для реклами та підтримка продажів.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5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0E2238"/>
                <w:sz w:val="22"/>
              </w:rPr>
              <w:t>Готуємо матеріали українською, російською, англійською та іншими мовами; архітектура проєкту має дозволяти швидко додавати нові мовні версії.</w:t>
            </w:r>
          </w:p>
        </w:tc>
      </w:tr>
    </w:tbl>
    <w:p>
      <w:pPr>
        <w:spacing w:after="0"/>
      </w:pPr>
    </w:p>
    <w:p>
      <w:pPr>
        <w:pStyle w:val="Heading1"/>
      </w:pPr>
      <w:r>
        <w:t>5. Що отримує клієнт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сценарій квесту або користувацького тесту;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підбір учасників за мовою, пристроєм, регіоном та інтересами;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дані про активний час, глибину, маршрути та виконання завдань;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анонімізовані відповіді й коментарі;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перелік проблем за пріоритетом і впливом на продажі;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SEO-, UX-, контентні та технічні рекомендації;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семантичний і контентний план;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оцінку строків і вартості впровадження;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можливість замовити виправлення та повторну перевірку «до/після».</w:t>
      </w:r>
    </w:p>
    <w:p>
      <w:pPr>
        <w:pStyle w:val="Heading1"/>
      </w:pPr>
      <w:r>
        <w:t>6. Стартові формати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0E223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Формат</w:t>
            </w:r>
          </w:p>
        </w:tc>
        <w:tc>
          <w:tcPr>
            <w:tcW w:type="dxa" w:w="3408"/>
            <w:shd w:fill="0E223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Що входить</w:t>
            </w:r>
          </w:p>
        </w:tc>
        <w:tc>
          <w:tcPr>
            <w:tcW w:type="dxa" w:w="3408"/>
            <w:shd w:fill="0E223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Стартова ціна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8FAFB"/>
          </w:tcPr>
          <w:p>
            <w:r>
              <w:rPr>
                <w:rFonts w:ascii="Aptos" w:hAnsi="Aptos" w:eastAsia="Aptos"/>
                <w:b/>
                <w:color w:val="1F5A7A"/>
                <w:sz w:val="19"/>
              </w:rPr>
              <w:t>Treasure Sprint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8FAFB"/>
          </w:tcPr>
          <w:p>
            <w:r>
              <w:rPr>
                <w:rFonts w:ascii="Aptos" w:hAnsi="Aptos" w:eastAsia="Aptos"/>
                <w:color w:val="1C2933"/>
                <w:sz w:val="18"/>
              </w:rPr>
              <w:t>До 20 учасників, одна сторінка або короткий квест, до 5 запитань, базовий звіт.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8FAFB"/>
          </w:tcPr>
          <w:p>
            <w:r>
              <w:rPr>
                <w:rFonts w:ascii="Aptos" w:hAnsi="Aptos" w:eastAsia="Aptos"/>
                <w:color w:val="1C2933"/>
                <w:sz w:val="18"/>
              </w:rPr>
              <w:t>від $49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r>
              <w:rPr>
                <w:rFonts w:ascii="Aptos" w:hAnsi="Aptos" w:eastAsia="Aptos"/>
                <w:b/>
                <w:color w:val="1F5A7A"/>
                <w:sz w:val="19"/>
              </w:rPr>
              <w:t>Site Quest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r>
              <w:rPr>
                <w:rFonts w:ascii="Aptos" w:hAnsi="Aptos" w:eastAsia="Aptos"/>
                <w:color w:val="1C2933"/>
                <w:sz w:val="18"/>
              </w:rPr>
              <w:t>До 50 учасників, кілька сторінок, пошук скарбу, маршрут, зворотний зв’язок і рекомендації.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r>
              <w:rPr>
                <w:rFonts w:ascii="Aptos" w:hAnsi="Aptos" w:eastAsia="Aptos"/>
                <w:color w:val="1C2933"/>
                <w:sz w:val="18"/>
              </w:rPr>
              <w:t>від $149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8FAFB"/>
          </w:tcPr>
          <w:p>
            <w:r>
              <w:rPr>
                <w:rFonts w:ascii="Aptos" w:hAnsi="Aptos" w:eastAsia="Aptos"/>
                <w:b/>
                <w:color w:val="1F5A7A"/>
                <w:sz w:val="19"/>
              </w:rPr>
              <w:t>Growth Quest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8FAFB"/>
          </w:tcPr>
          <w:p>
            <w:r>
              <w:rPr>
                <w:rFonts w:ascii="Aptos" w:hAnsi="Aptos" w:eastAsia="Aptos"/>
                <w:color w:val="1C2933"/>
                <w:sz w:val="18"/>
              </w:rPr>
              <w:t>До 100 учасників, повна воронка, сегментація, точки відмови, SEO/UX-аналіз.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8FAFB"/>
          </w:tcPr>
          <w:p>
            <w:r>
              <w:rPr>
                <w:rFonts w:ascii="Aptos" w:hAnsi="Aptos" w:eastAsia="Aptos"/>
                <w:color w:val="1C2933"/>
                <w:sz w:val="18"/>
              </w:rPr>
              <w:t>від $349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r>
              <w:rPr>
                <w:rFonts w:ascii="Aptos" w:hAnsi="Aptos" w:eastAsia="Aptos"/>
                <w:b/>
                <w:color w:val="1F5A7A"/>
                <w:sz w:val="19"/>
              </w:rPr>
              <w:t>Full Growth Audit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r>
              <w:rPr>
                <w:rFonts w:ascii="Aptos" w:hAnsi="Aptos" w:eastAsia="Aptos"/>
                <w:color w:val="1C2933"/>
                <w:sz w:val="18"/>
              </w:rPr>
              <w:t>Технічний SEO, UX, контент, аналітика, семантика та план впровадження.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r>
              <w:rPr>
                <w:rFonts w:ascii="Aptos" w:hAnsi="Aptos" w:eastAsia="Aptos"/>
                <w:color w:val="1C2933"/>
                <w:sz w:val="18"/>
              </w:rPr>
              <w:t>від $490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8FAFB"/>
          </w:tcPr>
          <w:p>
            <w:r>
              <w:rPr>
                <w:rFonts w:ascii="Aptos" w:hAnsi="Aptos" w:eastAsia="Aptos"/>
                <w:b/>
                <w:color w:val="1F5A7A"/>
                <w:sz w:val="19"/>
              </w:rPr>
              <w:t>Implementation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8FAFB"/>
          </w:tcPr>
          <w:p>
            <w:r>
              <w:rPr>
                <w:rFonts w:ascii="Aptos" w:hAnsi="Aptos" w:eastAsia="Aptos"/>
                <w:color w:val="1C2933"/>
                <w:sz w:val="18"/>
              </w:rPr>
              <w:t>Статті, сторінки, виправлення, інтеграції, автоматизація та повторний тест.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8FAFB"/>
          </w:tcPr>
          <w:p>
            <w:r>
              <w:rPr>
                <w:rFonts w:ascii="Aptos" w:hAnsi="Aptos" w:eastAsia="Aptos"/>
                <w:color w:val="1C2933"/>
                <w:sz w:val="18"/>
              </w:rPr>
              <w:t>індивідуально</w:t>
            </w:r>
          </w:p>
        </w:tc>
      </w:tr>
    </w:tbl>
    <w:p>
      <w:pPr>
        <w:pStyle w:val="SmallNote"/>
      </w:pPr>
      <w:r>
        <w:t>Ціна залежить від географії, мови, складності маршруту, кількості учасників, розміру винагороди та обсягу впровадження. Для перших клієнтів доступні пілотні умови.</w:t>
      </w:r>
    </w:p>
    <w:p>
      <w:pPr>
        <w:pStyle w:val="Heading1"/>
      </w:pPr>
      <w:r>
        <w:t>7. Кому підходить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інтернет-магазинам і маркетплейсам;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SaaS та онлайн-сервісам;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стартапам і новим продуктам;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маркетинговим і веб-агентствам;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власникам WordPress, WooCommerce, Shopify і кастомних сайтів;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освітнім проєктам, авторам і медіа;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локальному бізнесу;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міжнародним проєктам із кількома мовами.</w:t>
      </w:r>
    </w:p>
    <w:p>
      <w:pPr>
        <w:pStyle w:val="Heading1"/>
      </w:pPr>
      <w:r>
        <w:t>8. Чесна та безпечна модель</w:t>
      </w:r>
    </w:p>
    <w:p>
      <w:r>
        <w:rPr>
          <w:rFonts w:ascii="Aptos" w:hAnsi="Aptos" w:eastAsia="Aptos"/>
          <w:sz w:val="20"/>
        </w:rPr>
        <w:t>Treasure Network продає реальну людську увагу, дослідження та покращення сайту. Ми не продаємо імітацію інтересу й не обіцяємо магічне підвищення позицій.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боти й автоматичні відвідування;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завдання знайти сайт за конкретним запитом і штучно клікнути по ньому;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кліки по рекламі заради витрат рекламодавця;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фальшиві відгуки, фіктивні покупки та реєстрації;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збір паролів, банківських даних і чутливої інформації;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гарантії конкретної позиції в пошуку.</w:t>
      </w:r>
    </w:p>
    <w:p>
      <w:pPr>
        <w:pStyle w:val="Heading1"/>
      </w:pPr>
      <w:r>
        <w:t>9. Пропозиція першим клієнтам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допомога у створенні квесту й сценарію;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спеціальна стартова ціна;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пріоритетний запуск після підбору аудиторії;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розширений звіт;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знижка на повторне тестування;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можливість замовити лише потрібні доопрацювання;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прозорий бюджет: винагороди учасникам, робота платформи та впровадження погоджуються заздалегідь.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5F2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0E2238"/>
                <w:sz w:val="22"/>
              </w:rPr>
              <w:t>Почніть з однієї сторінки, картки товару або короткої воронки. Ми покажемо, що реальні люди бачать на вашому сайті, що пропускають і що варто виправити насамперед.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rFonts w:ascii="Aptos" w:hAnsi="Aptos" w:eastAsia="Aptos"/>
          <w:b/>
          <w:color w:val="1F5A7A"/>
          <w:sz w:val="22"/>
        </w:rPr>
        <w:t>treasurenetwork.space  •  Telegram: @tehnonom</w:t>
      </w:r>
    </w:p>
    <w:p>
      <w:pPr>
        <w:pStyle w:val="Heading2"/>
      </w:pPr>
      <w:r>
        <w:t>Примітка про джерела та пошукові системи</w:t>
      </w:r>
    </w:p>
    <w:p>
      <w:pPr>
        <w:pStyle w:val="SmallNote"/>
      </w:pPr>
      <w:r>
        <w:t>Формулювання про пошукову видимість навмисно не обіцяють гарантованого зростання. Вони спираються на публічні матеріали пошукових систем про якість сторінок, залученість і заборону штучної імітації поведінки.</w:t>
      </w:r>
    </w:p>
    <w:p>
      <w:pPr>
        <w:pStyle w:val="SmallNote"/>
      </w:pPr>
      <w:hyperlink r:id="rId11">
        <w:r>
          <w:rPr>
            <w:color w:val="1F5A7A"/>
            <w:u w:val="single"/>
          </w:rPr>
          <w:t>Microsoft Bing Webmaster Blog — User Signals / engagement metrics</w:t>
        </w:r>
      </w:hyperlink>
    </w:p>
    <w:p>
      <w:pPr>
        <w:pStyle w:val="SmallNote"/>
      </w:pPr>
      <w:hyperlink r:id="rId12">
        <w:r>
          <w:rPr>
            <w:color w:val="1F5A7A"/>
            <w:u w:val="single"/>
          </w:rPr>
          <w:t>Google Search Central — ranking systems and page experience</w:t>
        </w:r>
      </w:hyperlink>
    </w:p>
    <w:p>
      <w:pPr>
        <w:pStyle w:val="SmallNote"/>
      </w:pPr>
      <w:hyperlink r:id="rId13">
        <w:r>
          <w:rPr>
            <w:color w:val="1F5A7A"/>
            <w:u w:val="single"/>
          </w:rPr>
          <w:t>Google Search Central — dwell time / bounce rate myth clarification</w:t>
        </w:r>
      </w:hyperlink>
    </w:p>
    <w:p>
      <w:pPr>
        <w:pStyle w:val="SmallNote"/>
      </w:pPr>
      <w:hyperlink r:id="rId14">
        <w:r>
          <w:rPr>
            <w:color w:val="1F5A7A"/>
            <w:u w:val="single"/>
          </w:rPr>
          <w:t>Yandex Webmaster — imitation of user actions is search spam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color w:val="5B6975"/>
        <w:sz w:val="16"/>
      </w:rPr>
      <w:t>Verified human attention • Website research • SEO • Content • Implementation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b/>
        <w:color w:val="1F5A7A"/>
        <w:sz w:val="17"/>
      </w:rPr>
      <w:t>TREASURE NETWORK  •  treasurenetwork.space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Aptos" w:hAnsi="Aptos"/>
      <w:color w:val="1C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E223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F5A7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1B7A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E223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Aptos" w:hAnsi="Aptos"/>
      <w:b/>
      <w:i/>
      <w:iCs/>
      <w:color w:val="1F5A7A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60" w:line="240" w:lineRule="auto"/>
    </w:pPr>
    <w:rPr>
      <w:rFonts w:ascii="Aptos" w:hAnsi="Aptos"/>
      <w:color w:val="5B6975"/>
      <w:sz w:val="17"/>
    </w:rPr>
  </w:style>
  <w:style w:type="paragraph" w:customStyle="1" w:styleId="Callout">
    <w:name w:val="Callout"/>
    <w:pPr>
      <w:spacing w:before="80" w:after="120"/>
      <w:ind w:left="216" w:right="216"/>
    </w:pPr>
    <w:rPr>
      <w:rFonts w:ascii="Aptos" w:hAnsi="Aptos"/>
      <w:b/>
      <w:color w:val="0E2238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blogs.bing.com/webmaster/March-2024/What%E2%80%99s-New-Top-Insights-for-Maximum-Visibility-and-Performance" TargetMode="External"/><Relationship Id="rId12" Type="http://schemas.openxmlformats.org/officeDocument/2006/relationships/hyperlink" Target="https://developers.google.com/search/docs/appearance/ranking-systems-guide" TargetMode="External"/><Relationship Id="rId13" Type="http://schemas.openxmlformats.org/officeDocument/2006/relationships/hyperlink" Target="https://developers.google.com/search/blog/2020/09/sharing-what-we-learned-on-first" TargetMode="External"/><Relationship Id="rId14" Type="http://schemas.openxmlformats.org/officeDocument/2006/relationships/hyperlink" Target="https://yandex.com/support/webmaster/en/threat/user-actions-imit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