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0E89E" w14:textId="00B109B3" w:rsidR="00D850F1" w:rsidRDefault="00D850F1" w:rsidP="000C654F">
      <w:pPr>
        <w:spacing w:before="240"/>
        <w:rPr>
          <w:rFonts w:ascii="Arial" w:hAnsi="Arial" w:cs="Arial"/>
          <w:sz w:val="24"/>
          <w:szCs w:val="24"/>
        </w:rPr>
      </w:pPr>
      <w:r w:rsidRPr="00866E80">
        <w:rPr>
          <w:rFonts w:ascii="Arial" w:hAnsi="Arial" w:cs="Arial"/>
          <w:b/>
          <w:bCs/>
          <w:sz w:val="24"/>
          <w:szCs w:val="24"/>
        </w:rPr>
        <w:t>Title</w:t>
      </w:r>
      <w:r w:rsidR="00ED2762">
        <w:rPr>
          <w:rFonts w:ascii="Arial" w:hAnsi="Arial" w:cs="Arial"/>
          <w:b/>
          <w:bCs/>
          <w:sz w:val="24"/>
          <w:szCs w:val="24"/>
        </w:rPr>
        <w:t xml:space="preserve">: </w:t>
      </w:r>
      <w:r w:rsidR="00ED2762" w:rsidRPr="00ED2762">
        <w:rPr>
          <w:rFonts w:ascii="Arial" w:hAnsi="Arial" w:cs="Arial"/>
          <w:sz w:val="24"/>
          <w:szCs w:val="24"/>
        </w:rPr>
        <w:t>Diagnostic and prognostic potential of microRNA clusters in human cancers.</w:t>
      </w:r>
    </w:p>
    <w:p w14:paraId="408A527A" w14:textId="733BE0F9" w:rsidR="000C654F" w:rsidRPr="000C654F" w:rsidRDefault="000C654F" w:rsidP="000C654F">
      <w:pPr>
        <w:spacing w:before="240"/>
        <w:rPr>
          <w:rFonts w:ascii="Arial" w:hAnsi="Arial" w:cs="Arial"/>
          <w:sz w:val="24"/>
          <w:szCs w:val="24"/>
        </w:rPr>
      </w:pPr>
      <w:r w:rsidRPr="000C654F">
        <w:rPr>
          <w:rFonts w:ascii="Arial" w:hAnsi="Arial" w:cs="Arial"/>
          <w:b/>
          <w:bCs/>
          <w:sz w:val="24"/>
          <w:szCs w:val="24"/>
        </w:rPr>
        <w:t xml:space="preserve">Group members: </w:t>
      </w:r>
      <w:r w:rsidRPr="000C654F">
        <w:rPr>
          <w:rFonts w:ascii="Arial" w:hAnsi="Arial" w:cs="Arial"/>
          <w:sz w:val="24"/>
          <w:szCs w:val="24"/>
        </w:rPr>
        <w:t>Clementina and Megha Lal</w:t>
      </w:r>
    </w:p>
    <w:p w14:paraId="55BBE366" w14:textId="6D1E37F9" w:rsidR="00D850F1" w:rsidRPr="00866E80" w:rsidRDefault="00D850F1" w:rsidP="000C654F">
      <w:pPr>
        <w:spacing w:before="240"/>
        <w:rPr>
          <w:rFonts w:ascii="Arial" w:hAnsi="Arial" w:cs="Arial"/>
          <w:b/>
          <w:bCs/>
          <w:sz w:val="24"/>
          <w:szCs w:val="24"/>
        </w:rPr>
      </w:pPr>
      <w:r w:rsidRPr="00866E80">
        <w:rPr>
          <w:rFonts w:ascii="Arial" w:hAnsi="Arial" w:cs="Arial"/>
          <w:b/>
          <w:bCs/>
          <w:sz w:val="24"/>
          <w:szCs w:val="24"/>
        </w:rPr>
        <w:t>Abstract</w:t>
      </w:r>
      <w:r w:rsidR="00FB7BCA">
        <w:rPr>
          <w:rFonts w:ascii="Arial" w:hAnsi="Arial" w:cs="Arial"/>
          <w:b/>
          <w:bCs/>
          <w:sz w:val="24"/>
          <w:szCs w:val="24"/>
        </w:rPr>
        <w:t>:</w:t>
      </w:r>
    </w:p>
    <w:p w14:paraId="4FBBBB3B" w14:textId="1AF8DF41" w:rsidR="004E3864" w:rsidRDefault="004E3864" w:rsidP="000C654F">
      <w:pPr>
        <w:spacing w:before="240"/>
        <w:rPr>
          <w:rFonts w:ascii="Arial" w:hAnsi="Arial" w:cs="Arial"/>
          <w:b/>
          <w:bCs/>
          <w:sz w:val="24"/>
          <w:szCs w:val="24"/>
        </w:rPr>
      </w:pPr>
      <w:r>
        <w:rPr>
          <w:rFonts w:ascii="Arial" w:hAnsi="Arial" w:cs="Arial"/>
          <w:b/>
          <w:bCs/>
          <w:sz w:val="24"/>
          <w:szCs w:val="24"/>
        </w:rPr>
        <w:t>Introduction</w:t>
      </w:r>
      <w:r w:rsidR="004D3F32">
        <w:rPr>
          <w:rFonts w:ascii="Arial" w:hAnsi="Arial" w:cs="Arial"/>
          <w:b/>
          <w:bCs/>
          <w:sz w:val="24"/>
          <w:szCs w:val="24"/>
        </w:rPr>
        <w:t xml:space="preserve"> and Background</w:t>
      </w:r>
      <w:r>
        <w:rPr>
          <w:rFonts w:ascii="Arial" w:hAnsi="Arial" w:cs="Arial"/>
          <w:b/>
          <w:bCs/>
          <w:sz w:val="24"/>
          <w:szCs w:val="24"/>
        </w:rPr>
        <w:t>:</w:t>
      </w:r>
    </w:p>
    <w:p w14:paraId="0A0AC6E7" w14:textId="5E8E9D76" w:rsidR="00034FCF" w:rsidRDefault="00034FCF" w:rsidP="000C654F">
      <w:pPr>
        <w:spacing w:before="240"/>
        <w:rPr>
          <w:rFonts w:ascii="Arial" w:hAnsi="Arial" w:cs="Arial"/>
          <w:b/>
          <w:bCs/>
          <w:sz w:val="24"/>
          <w:szCs w:val="24"/>
        </w:rPr>
      </w:pPr>
      <w:r w:rsidRPr="00034FCF">
        <w:rPr>
          <w:rFonts w:ascii="Arial" w:hAnsi="Arial" w:cs="Arial"/>
          <w:b/>
          <w:bCs/>
          <w:sz w:val="24"/>
          <w:szCs w:val="24"/>
        </w:rPr>
        <w:t xml:space="preserve">Problem Statement and </w:t>
      </w:r>
      <w:r w:rsidR="00A54F9E" w:rsidRPr="00A54F9E">
        <w:rPr>
          <w:rFonts w:ascii="Arial" w:hAnsi="Arial" w:cs="Arial"/>
          <w:b/>
          <w:bCs/>
          <w:sz w:val="24"/>
          <w:szCs w:val="24"/>
        </w:rPr>
        <w:t>Study Rationale</w:t>
      </w:r>
      <w:r>
        <w:rPr>
          <w:rFonts w:ascii="Arial" w:hAnsi="Arial" w:cs="Arial"/>
          <w:b/>
          <w:bCs/>
          <w:sz w:val="24"/>
          <w:szCs w:val="24"/>
        </w:rPr>
        <w:t>:</w:t>
      </w:r>
    </w:p>
    <w:p w14:paraId="098A8816" w14:textId="7EB9A117" w:rsidR="00A54F9E" w:rsidRDefault="000D385A" w:rsidP="00A54F9E">
      <w:pPr>
        <w:spacing w:before="240"/>
        <w:rPr>
          <w:rFonts w:ascii="Arial" w:hAnsi="Arial" w:cs="Arial"/>
          <w:b/>
          <w:bCs/>
          <w:sz w:val="24"/>
          <w:szCs w:val="24"/>
        </w:rPr>
      </w:pPr>
      <w:r>
        <w:rPr>
          <w:rFonts w:ascii="Arial" w:hAnsi="Arial" w:cs="Arial"/>
          <w:b/>
          <w:bCs/>
          <w:sz w:val="24"/>
          <w:szCs w:val="24"/>
        </w:rPr>
        <w:t>R</w:t>
      </w:r>
      <w:r w:rsidR="00D850F1" w:rsidRPr="00866E80">
        <w:rPr>
          <w:rFonts w:ascii="Arial" w:hAnsi="Arial" w:cs="Arial"/>
          <w:b/>
          <w:bCs/>
          <w:sz w:val="24"/>
          <w:szCs w:val="24"/>
        </w:rPr>
        <w:t>esearch</w:t>
      </w:r>
      <w:r w:rsidR="002E3B0F">
        <w:rPr>
          <w:rFonts w:ascii="Arial" w:hAnsi="Arial" w:cs="Arial"/>
          <w:b/>
          <w:bCs/>
          <w:sz w:val="24"/>
          <w:szCs w:val="24"/>
        </w:rPr>
        <w:t xml:space="preserve"> </w:t>
      </w:r>
      <w:r w:rsidR="00C10F3F" w:rsidRPr="00C10F3F">
        <w:rPr>
          <w:rFonts w:ascii="Arial" w:hAnsi="Arial" w:cs="Arial"/>
          <w:b/>
          <w:bCs/>
          <w:sz w:val="24"/>
          <w:szCs w:val="24"/>
        </w:rPr>
        <w:t>Objectives and Questions</w:t>
      </w:r>
      <w:r w:rsidR="00410EBA">
        <w:rPr>
          <w:rFonts w:ascii="Arial" w:hAnsi="Arial" w:cs="Arial"/>
          <w:b/>
          <w:bCs/>
          <w:sz w:val="24"/>
          <w:szCs w:val="24"/>
        </w:rPr>
        <w:t>:</w:t>
      </w:r>
      <w:r w:rsidR="00100DE8">
        <w:rPr>
          <w:rFonts w:ascii="Arial" w:hAnsi="Arial" w:cs="Arial"/>
          <w:b/>
          <w:bCs/>
          <w:sz w:val="24"/>
          <w:szCs w:val="24"/>
        </w:rPr>
        <w:t xml:space="preserve"> </w:t>
      </w:r>
    </w:p>
    <w:p w14:paraId="3D6CCFBC" w14:textId="1B1B8358" w:rsidR="001D1300" w:rsidRPr="001D1300" w:rsidRDefault="001D1300" w:rsidP="00A54F9E">
      <w:pPr>
        <w:spacing w:before="240"/>
        <w:rPr>
          <w:rFonts w:ascii="Arial" w:hAnsi="Arial" w:cs="Arial"/>
          <w:sz w:val="24"/>
          <w:szCs w:val="24"/>
        </w:rPr>
      </w:pPr>
      <w:r w:rsidRPr="001D1300">
        <w:rPr>
          <w:rFonts w:ascii="Arial" w:hAnsi="Arial" w:cs="Arial"/>
          <w:sz w:val="24"/>
          <w:szCs w:val="24"/>
        </w:rPr>
        <w:t>Cancer poses a significant threat to global economic and social development, with current treatment strategies insufficient to meet the rising demands for diagnosis and care. The heterogeneous nature of the disease and the complexities of histological grading, tumor staging, and molecular phenotypes hinder the discovery of effective therapeutic targets. While many studies examine individual microRNAs (miRNAs) in cancer, there is a lack of research on miRNA clusters. These clusters can act as tumor suppressors or oncogenes, potentially targeting similar genes or pathways to influence carcinogenesis in a coordinated manner.</w:t>
      </w:r>
    </w:p>
    <w:p w14:paraId="05148395" w14:textId="3F4BDDF6" w:rsidR="001D1300" w:rsidRPr="001D1300" w:rsidRDefault="001D1300" w:rsidP="001D1300">
      <w:pPr>
        <w:spacing w:before="240"/>
        <w:rPr>
          <w:rFonts w:ascii="Arial" w:hAnsi="Arial" w:cs="Arial"/>
          <w:sz w:val="24"/>
          <w:szCs w:val="24"/>
        </w:rPr>
      </w:pPr>
      <w:r w:rsidRPr="001D1300">
        <w:rPr>
          <w:rFonts w:ascii="Arial" w:hAnsi="Arial" w:cs="Arial"/>
          <w:sz w:val="24"/>
          <w:szCs w:val="24"/>
        </w:rPr>
        <w:t>This study aims to answer the question: Do miRNA clusters have significant potential as diagnostic and prognostic biomarkers across different cancer types? A thorough analysis of their clinical relevance is essential before advancing therapeutic approaches.</w:t>
      </w:r>
    </w:p>
    <w:p w14:paraId="7331968C" w14:textId="48DB00B6" w:rsidR="00D850F1" w:rsidRDefault="00D850F1" w:rsidP="000C654F">
      <w:pPr>
        <w:spacing w:before="240"/>
        <w:rPr>
          <w:rFonts w:ascii="Arial" w:hAnsi="Arial" w:cs="Arial"/>
          <w:b/>
          <w:bCs/>
          <w:sz w:val="24"/>
          <w:szCs w:val="24"/>
        </w:rPr>
      </w:pPr>
      <w:r w:rsidRPr="00866E80">
        <w:rPr>
          <w:rFonts w:ascii="Arial" w:hAnsi="Arial" w:cs="Arial"/>
          <w:b/>
          <w:bCs/>
          <w:sz w:val="24"/>
          <w:szCs w:val="24"/>
        </w:rPr>
        <w:t>Hypothes</w:t>
      </w:r>
      <w:r w:rsidR="00C10F3F">
        <w:rPr>
          <w:rFonts w:ascii="Arial" w:hAnsi="Arial" w:cs="Arial"/>
          <w:b/>
          <w:bCs/>
          <w:sz w:val="24"/>
          <w:szCs w:val="24"/>
        </w:rPr>
        <w:t>e</w:t>
      </w:r>
      <w:r w:rsidRPr="00866E80">
        <w:rPr>
          <w:rFonts w:ascii="Arial" w:hAnsi="Arial" w:cs="Arial"/>
          <w:b/>
          <w:bCs/>
          <w:sz w:val="24"/>
          <w:szCs w:val="24"/>
        </w:rPr>
        <w:t>s</w:t>
      </w:r>
      <w:r w:rsidR="00615775">
        <w:rPr>
          <w:rFonts w:ascii="Arial" w:hAnsi="Arial" w:cs="Arial"/>
          <w:b/>
          <w:bCs/>
          <w:sz w:val="24"/>
          <w:szCs w:val="24"/>
        </w:rPr>
        <w:t>:</w:t>
      </w:r>
      <w:r w:rsidR="00DB41FB">
        <w:rPr>
          <w:rFonts w:ascii="Arial" w:hAnsi="Arial" w:cs="Arial"/>
          <w:b/>
          <w:bCs/>
          <w:sz w:val="24"/>
          <w:szCs w:val="24"/>
        </w:rPr>
        <w:t xml:space="preserve"> </w:t>
      </w:r>
    </w:p>
    <w:p w14:paraId="6414789C" w14:textId="77777777" w:rsidR="00DB41FB" w:rsidRPr="00DB41FB" w:rsidRDefault="00DB41FB" w:rsidP="00DB41FB">
      <w:pPr>
        <w:rPr>
          <w:rFonts w:ascii="Arial" w:hAnsi="Arial" w:cs="Arial"/>
          <w:sz w:val="24"/>
          <w:szCs w:val="24"/>
        </w:rPr>
      </w:pPr>
      <w:r w:rsidRPr="00DB41FB">
        <w:rPr>
          <w:rFonts w:ascii="Arial" w:hAnsi="Arial" w:cs="Arial"/>
          <w:sz w:val="24"/>
          <w:szCs w:val="24"/>
        </w:rPr>
        <w:t>Cancer is the second leading cause of death globally, responsible for an estimated 9.6 million deaths in 2018. Early detection and treatment can improve management; however, challenges such as late-stage diagnoses, inaccessible testing, and high treatment costs hinder this process, leading to poor outcomes. This underscores the need for novel biomarkers with high accuracy, specificity, and sensitivity for better disease management.</w:t>
      </w:r>
    </w:p>
    <w:p w14:paraId="0063DD9B" w14:textId="77777777" w:rsidR="00DB41FB" w:rsidRPr="00DB41FB" w:rsidRDefault="00DB41FB" w:rsidP="00DB41FB">
      <w:pPr>
        <w:spacing w:before="240"/>
        <w:rPr>
          <w:rFonts w:ascii="Arial" w:hAnsi="Arial" w:cs="Arial"/>
          <w:sz w:val="24"/>
          <w:szCs w:val="24"/>
        </w:rPr>
      </w:pPr>
      <w:r w:rsidRPr="00DB41FB">
        <w:rPr>
          <w:rFonts w:ascii="Arial" w:hAnsi="Arial" w:cs="Arial"/>
          <w:sz w:val="24"/>
          <w:szCs w:val="24"/>
        </w:rPr>
        <w:t>Over 20% of known microRNAs (miRNAs) are organized into 131 genomic clusters. These clusters consist of genes located within 10 kb of each other on the same chromosome and strand. Research indicates that clustered miRNAs are often co-expressed and target similar pathways. The miR-17~92 cluster at 13q31, containing six miRNAs, is amplified in various cancers like B-cell lymphomas and lung cancer, showing a threefold increase in triple-negative breast cancer. Its expression is regulated by the proto-oncogene c-</w:t>
      </w:r>
      <w:proofErr w:type="spellStart"/>
      <w:r w:rsidRPr="00DB41FB">
        <w:rPr>
          <w:rFonts w:ascii="Arial" w:hAnsi="Arial" w:cs="Arial"/>
          <w:sz w:val="24"/>
          <w:szCs w:val="24"/>
        </w:rPr>
        <w:t>Myc</w:t>
      </w:r>
      <w:proofErr w:type="spellEnd"/>
      <w:r w:rsidRPr="00DB41FB">
        <w:rPr>
          <w:rFonts w:ascii="Arial" w:hAnsi="Arial" w:cs="Arial"/>
          <w:sz w:val="24"/>
          <w:szCs w:val="24"/>
        </w:rPr>
        <w:t xml:space="preserve">, affecting cell proliferation and apoptosis. </w:t>
      </w:r>
    </w:p>
    <w:p w14:paraId="4A62C35D" w14:textId="12392A20" w:rsidR="00DB41FB" w:rsidRDefault="00DB41FB" w:rsidP="00DB41FB">
      <w:pPr>
        <w:spacing w:before="240"/>
        <w:rPr>
          <w:rFonts w:ascii="Arial" w:hAnsi="Arial" w:cs="Arial"/>
          <w:sz w:val="24"/>
          <w:szCs w:val="24"/>
        </w:rPr>
      </w:pPr>
      <w:r w:rsidRPr="00DB41FB">
        <w:rPr>
          <w:rFonts w:ascii="Arial" w:hAnsi="Arial" w:cs="Arial"/>
          <w:sz w:val="24"/>
          <w:szCs w:val="24"/>
        </w:rPr>
        <w:t xml:space="preserve">We hypothesize that specific miRNA clusters play crucial roles in cancer progression and have significant potential as biomarkers for cancer diagnosis and prognosis. Due to </w:t>
      </w:r>
      <w:r w:rsidRPr="00DB41FB">
        <w:rPr>
          <w:rFonts w:ascii="Arial" w:hAnsi="Arial" w:cs="Arial"/>
          <w:sz w:val="24"/>
          <w:szCs w:val="24"/>
        </w:rPr>
        <w:lastRenderedPageBreak/>
        <w:t>their clustered nature and co-expression, these miRNAs likely target common cancer-related pathways, enabling them to influence tumor development and progression in a coordinated fashion. By studying these clusters across various cancer types, we aim to demonstrate that miRNA clusters offer high diagnostic accuracy and prognostic value, facilitating earlier detection and improved patient outcomes.</w:t>
      </w:r>
    </w:p>
    <w:p w14:paraId="55563711" w14:textId="7D59DA6C" w:rsidR="006E53CA" w:rsidRDefault="006E53CA" w:rsidP="00DB41FB">
      <w:pPr>
        <w:spacing w:before="240"/>
        <w:rPr>
          <w:rFonts w:ascii="Arial" w:hAnsi="Arial" w:cs="Arial"/>
          <w:b/>
          <w:bCs/>
          <w:sz w:val="24"/>
          <w:szCs w:val="24"/>
        </w:rPr>
      </w:pPr>
      <w:r w:rsidRPr="006E53CA">
        <w:rPr>
          <w:rFonts w:ascii="Arial" w:hAnsi="Arial" w:cs="Arial"/>
          <w:b/>
          <w:bCs/>
          <w:sz w:val="24"/>
          <w:szCs w:val="24"/>
        </w:rPr>
        <w:t>Methods:</w:t>
      </w:r>
    </w:p>
    <w:p w14:paraId="5A0262A1" w14:textId="12960AE6" w:rsidR="008A4EFA" w:rsidRPr="008A4EFA" w:rsidRDefault="00810C32" w:rsidP="008A4EFA">
      <w:pPr>
        <w:spacing w:before="240"/>
        <w:rPr>
          <w:rFonts w:ascii="Arial" w:hAnsi="Arial" w:cs="Arial"/>
          <w:sz w:val="24"/>
          <w:szCs w:val="24"/>
        </w:rPr>
      </w:pPr>
      <w:r w:rsidRPr="00810C32">
        <w:rPr>
          <w:rFonts w:ascii="Arial" w:hAnsi="Arial" w:cs="Arial"/>
          <w:i/>
          <w:iCs/>
          <w:sz w:val="24"/>
          <w:szCs w:val="24"/>
          <w:u w:val="single"/>
        </w:rPr>
        <w:t>Downloading and Preparing TCGA Data:</w:t>
      </w:r>
      <w:r w:rsidRPr="00810C32">
        <w:rPr>
          <w:rFonts w:ascii="Arial" w:hAnsi="Arial" w:cs="Arial"/>
          <w:sz w:val="24"/>
          <w:szCs w:val="24"/>
        </w:rPr>
        <w:t xml:space="preserve"> The miRNA expression data from the Illumina platform, aligned to hg38, was downloaded using the R package </w:t>
      </w:r>
      <w:proofErr w:type="spellStart"/>
      <w:r w:rsidRPr="00810C32">
        <w:rPr>
          <w:rFonts w:ascii="Arial" w:hAnsi="Arial" w:cs="Arial"/>
          <w:sz w:val="24"/>
          <w:szCs w:val="24"/>
        </w:rPr>
        <w:t>TCGAbiolinks</w:t>
      </w:r>
      <w:proofErr w:type="spellEnd"/>
      <w:r w:rsidRPr="00810C32">
        <w:rPr>
          <w:rFonts w:ascii="Arial" w:hAnsi="Arial" w:cs="Arial"/>
          <w:sz w:val="24"/>
          <w:szCs w:val="24"/>
        </w:rPr>
        <w:t xml:space="preserve"> for 33 human cancer types. For adequate statistical power, only cancers with at least ten matched normal controls and tumor purity information were included.</w:t>
      </w:r>
      <w:r w:rsidR="008A4EFA">
        <w:rPr>
          <w:rFonts w:ascii="Arial" w:hAnsi="Arial" w:cs="Arial"/>
          <w:sz w:val="24"/>
          <w:szCs w:val="24"/>
        </w:rPr>
        <w:t xml:space="preserve"> </w:t>
      </w:r>
      <w:proofErr w:type="spellStart"/>
      <w:r w:rsidR="008A4EFA" w:rsidRPr="008A4EFA">
        <w:rPr>
          <w:rFonts w:ascii="Arial" w:eastAsia="Times New Roman" w:hAnsi="Arial" w:cs="Arial"/>
          <w:spacing w:val="3"/>
          <w:kern w:val="0"/>
          <w:sz w:val="24"/>
          <w:szCs w:val="24"/>
          <w14:ligatures w14:val="none"/>
        </w:rPr>
        <w:t>MiRBase</w:t>
      </w:r>
      <w:proofErr w:type="spellEnd"/>
      <w:r w:rsidR="008A4EFA" w:rsidRPr="008A4EFA">
        <w:rPr>
          <w:rFonts w:ascii="Arial" w:eastAsia="Times New Roman" w:hAnsi="Arial" w:cs="Arial"/>
          <w:spacing w:val="3"/>
          <w:kern w:val="0"/>
          <w:sz w:val="24"/>
          <w:szCs w:val="24"/>
          <w14:ligatures w14:val="none"/>
        </w:rPr>
        <w:t xml:space="preserve"> is a repository for miRNA sequences and annotations that includes information on miRNA clusters and their genomic locations, aiding in their identification and classification for specific analysis.</w:t>
      </w:r>
      <w:r w:rsidR="008A4EFA" w:rsidRPr="008A4EFA">
        <w:rPr>
          <w:rFonts w:ascii="Arial" w:eastAsia="Times New Roman" w:hAnsi="Arial" w:cs="Arial"/>
          <w:spacing w:val="3"/>
          <w:kern w:val="0"/>
          <w:sz w:val="24"/>
          <w:szCs w:val="24"/>
          <w14:ligatures w14:val="none"/>
        </w:rPr>
        <w:t xml:space="preserve"> </w:t>
      </w:r>
      <w:r w:rsidR="008A4EFA" w:rsidRPr="008A4EFA">
        <w:rPr>
          <w:rFonts w:ascii="Arial" w:eastAsia="Times New Roman" w:hAnsi="Arial" w:cs="Arial"/>
          <w:spacing w:val="3"/>
          <w:kern w:val="0"/>
          <w:sz w:val="24"/>
          <w:szCs w:val="24"/>
          <w14:ligatures w14:val="none"/>
        </w:rPr>
        <w:t>The Cancer Genome Atlas (TCGA), a collaboration between the National Cancer Institute (NCI) and the National Human Genome Research Institute (NHGRI), offers high-throughput sequencing data on miRNA expression from 33 primary human cancers and matched controls. This data is analyzed to assess the prognostic potential of microRNA clusters across all cancer types.</w:t>
      </w:r>
    </w:p>
    <w:p w14:paraId="30DF332A" w14:textId="49A45096" w:rsidR="00810C32" w:rsidRPr="00810C32" w:rsidRDefault="00810C32" w:rsidP="00810C32">
      <w:pPr>
        <w:spacing w:before="240"/>
        <w:rPr>
          <w:rFonts w:ascii="Arial" w:hAnsi="Arial" w:cs="Arial"/>
          <w:sz w:val="24"/>
          <w:szCs w:val="24"/>
        </w:rPr>
      </w:pPr>
      <w:r w:rsidRPr="00810C32">
        <w:rPr>
          <w:rFonts w:ascii="Arial" w:hAnsi="Arial" w:cs="Arial"/>
          <w:i/>
          <w:iCs/>
          <w:sz w:val="24"/>
          <w:szCs w:val="24"/>
          <w:u w:val="single"/>
        </w:rPr>
        <w:t>Preprocessing and Normalization of the miRNA Expression Matrix:</w:t>
      </w:r>
      <w:r w:rsidRPr="00810C32">
        <w:rPr>
          <w:rFonts w:ascii="Arial" w:hAnsi="Arial" w:cs="Arial"/>
          <w:sz w:val="24"/>
          <w:szCs w:val="24"/>
        </w:rPr>
        <w:t xml:space="preserve"> The miRNA expression matrix was filtered and normalized to remove technical variability. Samples with tumor purity (CPE) below 60% and miRNAs with a total read count of less than 10 were discarded to improve memory usage and analysis speed.</w:t>
      </w:r>
    </w:p>
    <w:p w14:paraId="7AE529B8" w14:textId="1AE0E299" w:rsidR="00810C32" w:rsidRPr="00810C32" w:rsidRDefault="00810C32" w:rsidP="00810C32">
      <w:pPr>
        <w:spacing w:before="240"/>
        <w:rPr>
          <w:rFonts w:ascii="Arial" w:hAnsi="Arial" w:cs="Arial"/>
          <w:sz w:val="24"/>
          <w:szCs w:val="24"/>
        </w:rPr>
      </w:pPr>
      <w:r w:rsidRPr="00810C32">
        <w:rPr>
          <w:rFonts w:ascii="Arial" w:hAnsi="Arial" w:cs="Arial"/>
          <w:i/>
          <w:iCs/>
          <w:sz w:val="24"/>
          <w:szCs w:val="24"/>
          <w:u w:val="single"/>
        </w:rPr>
        <w:t xml:space="preserve">Normalization to Remove Technical and Confounding Variability: </w:t>
      </w:r>
      <w:r w:rsidRPr="00810C32">
        <w:rPr>
          <w:rFonts w:ascii="Arial" w:hAnsi="Arial" w:cs="Arial"/>
          <w:sz w:val="24"/>
          <w:szCs w:val="24"/>
        </w:rPr>
        <w:t xml:space="preserve">Sources of variation in miRNA expression were identified and adjusted using DESeq2 version 1.22.1 and the </w:t>
      </w:r>
      <w:proofErr w:type="spellStart"/>
      <w:r w:rsidRPr="00810C32">
        <w:rPr>
          <w:rFonts w:ascii="Arial" w:hAnsi="Arial" w:cs="Arial"/>
          <w:sz w:val="24"/>
          <w:szCs w:val="24"/>
        </w:rPr>
        <w:t>ExpressionNormalization</w:t>
      </w:r>
      <w:proofErr w:type="spellEnd"/>
      <w:r w:rsidRPr="00810C32">
        <w:rPr>
          <w:rFonts w:ascii="Arial" w:hAnsi="Arial" w:cs="Arial"/>
          <w:sz w:val="24"/>
          <w:szCs w:val="24"/>
        </w:rPr>
        <w:t xml:space="preserve"> workflow version 1.10.0.</w:t>
      </w:r>
    </w:p>
    <w:p w14:paraId="71410E1F" w14:textId="71E66D72" w:rsidR="00810C32" w:rsidRPr="00810C32" w:rsidRDefault="00810C32" w:rsidP="00810C32">
      <w:pPr>
        <w:spacing w:before="240"/>
        <w:rPr>
          <w:rFonts w:ascii="Arial" w:hAnsi="Arial" w:cs="Arial"/>
          <w:sz w:val="24"/>
          <w:szCs w:val="24"/>
        </w:rPr>
      </w:pPr>
      <w:r w:rsidRPr="00810C32">
        <w:rPr>
          <w:rFonts w:ascii="Arial" w:hAnsi="Arial" w:cs="Arial"/>
          <w:i/>
          <w:iCs/>
          <w:sz w:val="24"/>
          <w:szCs w:val="24"/>
          <w:u w:val="single"/>
        </w:rPr>
        <w:t xml:space="preserve">Classification Based on miRNA Clusters Using Machine Learning Algorithms: </w:t>
      </w:r>
      <w:r w:rsidRPr="00810C32">
        <w:rPr>
          <w:rFonts w:ascii="Arial" w:hAnsi="Arial" w:cs="Arial"/>
          <w:sz w:val="24"/>
          <w:szCs w:val="24"/>
        </w:rPr>
        <w:t>The dataset was split into training (70%) and testing (30%) sets for an unbiased model evaluation. K-fold cross-validation (k=5 or k=10) was applied to the training set to enhance reliability and reduce overfitting. Various machine learning algorithms, including Support Vector Machines (SVM), Random Forest, and Gradient Boosting, were tested for classifying cancer types and identifying prognostic miRNA clusters, with hyperparameters optimized through grid or random search. Model performance was assessed based on accuracy, and ensemble methods like bagging and boosting were used to improve classification accuracy. The final model performance was evaluated using AUC-ROC, sensitivity, and specificity metrics on the test set.</w:t>
      </w:r>
    </w:p>
    <w:p w14:paraId="7509D4D5" w14:textId="3CA391C0" w:rsidR="009B3679" w:rsidRDefault="00D40EE7" w:rsidP="0031475F">
      <w:pPr>
        <w:spacing w:before="240"/>
        <w:rPr>
          <w:rFonts w:ascii="Arial" w:hAnsi="Arial" w:cs="Arial"/>
          <w:b/>
          <w:bCs/>
          <w:sz w:val="24"/>
          <w:szCs w:val="24"/>
        </w:rPr>
      </w:pPr>
      <w:r>
        <w:rPr>
          <w:rFonts w:ascii="Arial" w:hAnsi="Arial" w:cs="Arial"/>
          <w:b/>
          <w:bCs/>
          <w:sz w:val="24"/>
          <w:szCs w:val="24"/>
        </w:rPr>
        <w:t>Results:</w:t>
      </w:r>
      <w:r w:rsidR="009B3679">
        <w:rPr>
          <w:rFonts w:ascii="Arial" w:hAnsi="Arial" w:cs="Arial"/>
          <w:b/>
          <w:bCs/>
          <w:sz w:val="24"/>
          <w:szCs w:val="24"/>
        </w:rPr>
        <w:t xml:space="preserve"> </w:t>
      </w:r>
    </w:p>
    <w:p w14:paraId="7F0D69D6" w14:textId="736DBDCB" w:rsidR="001762BA" w:rsidRPr="00866E80" w:rsidRDefault="00D850F1" w:rsidP="0031475F">
      <w:pPr>
        <w:spacing w:before="240"/>
        <w:rPr>
          <w:rFonts w:ascii="Arial" w:hAnsi="Arial" w:cs="Arial"/>
          <w:b/>
          <w:bCs/>
          <w:sz w:val="24"/>
          <w:szCs w:val="24"/>
        </w:rPr>
      </w:pPr>
      <w:r w:rsidRPr="00866E80">
        <w:rPr>
          <w:rFonts w:ascii="Arial" w:hAnsi="Arial" w:cs="Arial"/>
          <w:b/>
          <w:bCs/>
          <w:sz w:val="24"/>
          <w:szCs w:val="24"/>
        </w:rPr>
        <w:t>Discussion</w:t>
      </w:r>
      <w:r w:rsidR="000C654F">
        <w:rPr>
          <w:rFonts w:ascii="Arial" w:hAnsi="Arial" w:cs="Arial"/>
          <w:b/>
          <w:bCs/>
          <w:sz w:val="24"/>
          <w:szCs w:val="24"/>
        </w:rPr>
        <w:t xml:space="preserve"> and </w:t>
      </w:r>
      <w:r w:rsidRPr="00866E80">
        <w:rPr>
          <w:rFonts w:ascii="Arial" w:hAnsi="Arial" w:cs="Arial"/>
          <w:b/>
          <w:bCs/>
          <w:sz w:val="24"/>
          <w:szCs w:val="24"/>
        </w:rPr>
        <w:t>Conclusion</w:t>
      </w:r>
      <w:r w:rsidR="009D1BAA">
        <w:rPr>
          <w:rFonts w:ascii="Arial" w:hAnsi="Arial" w:cs="Arial"/>
          <w:b/>
          <w:bCs/>
          <w:sz w:val="24"/>
          <w:szCs w:val="24"/>
        </w:rPr>
        <w:t>:</w:t>
      </w:r>
    </w:p>
    <w:p w14:paraId="29B85886" w14:textId="27A1A166" w:rsidR="001762BA" w:rsidRPr="00866E80" w:rsidRDefault="00D850F1" w:rsidP="000C654F">
      <w:pPr>
        <w:spacing w:before="240"/>
        <w:rPr>
          <w:rFonts w:ascii="Arial" w:hAnsi="Arial" w:cs="Arial"/>
          <w:b/>
          <w:bCs/>
          <w:sz w:val="24"/>
          <w:szCs w:val="24"/>
        </w:rPr>
      </w:pPr>
      <w:r w:rsidRPr="00866E80">
        <w:rPr>
          <w:rFonts w:ascii="Arial" w:hAnsi="Arial" w:cs="Arial"/>
          <w:b/>
          <w:bCs/>
          <w:sz w:val="24"/>
          <w:szCs w:val="24"/>
        </w:rPr>
        <w:t>Limitations</w:t>
      </w:r>
      <w:r w:rsidR="002E3B0F">
        <w:rPr>
          <w:rFonts w:ascii="Arial" w:hAnsi="Arial" w:cs="Arial"/>
          <w:b/>
          <w:bCs/>
          <w:sz w:val="24"/>
          <w:szCs w:val="24"/>
        </w:rPr>
        <w:t xml:space="preserve"> </w:t>
      </w:r>
      <w:r w:rsidRPr="00866E80">
        <w:rPr>
          <w:rFonts w:ascii="Arial" w:hAnsi="Arial" w:cs="Arial"/>
          <w:b/>
          <w:bCs/>
          <w:sz w:val="24"/>
          <w:szCs w:val="24"/>
        </w:rPr>
        <w:t>and</w:t>
      </w:r>
      <w:r w:rsidR="002E3B0F">
        <w:rPr>
          <w:rFonts w:ascii="Arial" w:hAnsi="Arial" w:cs="Arial"/>
          <w:b/>
          <w:bCs/>
          <w:sz w:val="24"/>
          <w:szCs w:val="24"/>
        </w:rPr>
        <w:t xml:space="preserve"> </w:t>
      </w:r>
      <w:r w:rsidR="00195272">
        <w:rPr>
          <w:rFonts w:ascii="Arial" w:hAnsi="Arial" w:cs="Arial"/>
          <w:b/>
          <w:bCs/>
          <w:sz w:val="24"/>
          <w:szCs w:val="24"/>
        </w:rPr>
        <w:t>Other</w:t>
      </w:r>
      <w:r w:rsidR="002E3B0F">
        <w:rPr>
          <w:rFonts w:ascii="Arial" w:hAnsi="Arial" w:cs="Arial"/>
          <w:b/>
          <w:bCs/>
          <w:sz w:val="24"/>
          <w:szCs w:val="24"/>
        </w:rPr>
        <w:t xml:space="preserve"> </w:t>
      </w:r>
      <w:r w:rsidR="00974E76">
        <w:rPr>
          <w:rFonts w:ascii="Arial" w:hAnsi="Arial" w:cs="Arial"/>
          <w:b/>
          <w:bCs/>
          <w:sz w:val="24"/>
          <w:szCs w:val="24"/>
        </w:rPr>
        <w:t>I</w:t>
      </w:r>
      <w:r w:rsidRPr="00866E80">
        <w:rPr>
          <w:rFonts w:ascii="Arial" w:hAnsi="Arial" w:cs="Arial"/>
          <w:b/>
          <w:bCs/>
          <w:sz w:val="24"/>
          <w:szCs w:val="24"/>
        </w:rPr>
        <w:t>nterpretations</w:t>
      </w:r>
      <w:r w:rsidR="00974E76">
        <w:rPr>
          <w:rFonts w:ascii="Arial" w:hAnsi="Arial" w:cs="Arial"/>
          <w:b/>
          <w:bCs/>
          <w:sz w:val="24"/>
          <w:szCs w:val="24"/>
        </w:rPr>
        <w:t>:</w:t>
      </w:r>
    </w:p>
    <w:p w14:paraId="762C4D67" w14:textId="57A28152" w:rsidR="00013EC0" w:rsidRDefault="00E75BB2" w:rsidP="000C654F">
      <w:pPr>
        <w:spacing w:before="240"/>
        <w:rPr>
          <w:rFonts w:ascii="Arial" w:hAnsi="Arial" w:cs="Arial"/>
          <w:b/>
          <w:bCs/>
          <w:sz w:val="24"/>
          <w:szCs w:val="24"/>
        </w:rPr>
      </w:pPr>
      <w:r w:rsidRPr="00E75BB2">
        <w:rPr>
          <w:rFonts w:ascii="Arial" w:hAnsi="Arial" w:cs="Arial"/>
          <w:b/>
          <w:bCs/>
          <w:sz w:val="24"/>
          <w:szCs w:val="24"/>
        </w:rPr>
        <w:lastRenderedPageBreak/>
        <w:t xml:space="preserve">Future </w:t>
      </w:r>
      <w:r w:rsidR="00C84888" w:rsidRPr="00C84888">
        <w:rPr>
          <w:rFonts w:ascii="Arial" w:hAnsi="Arial" w:cs="Arial"/>
          <w:b/>
          <w:bCs/>
          <w:sz w:val="24"/>
          <w:szCs w:val="24"/>
        </w:rPr>
        <w:t>Research Directions</w:t>
      </w:r>
      <w:r w:rsidR="009106B6">
        <w:rPr>
          <w:rFonts w:ascii="Arial" w:hAnsi="Arial" w:cs="Arial"/>
          <w:b/>
          <w:bCs/>
          <w:sz w:val="24"/>
          <w:szCs w:val="24"/>
        </w:rPr>
        <w:t>:</w:t>
      </w:r>
    </w:p>
    <w:p w14:paraId="7752211B" w14:textId="299FE54C" w:rsidR="00686FBC" w:rsidRPr="00866E80" w:rsidRDefault="00C8385F" w:rsidP="000C654F">
      <w:pPr>
        <w:spacing w:before="240"/>
        <w:rPr>
          <w:rFonts w:ascii="Arial" w:hAnsi="Arial" w:cs="Arial"/>
          <w:b/>
          <w:bCs/>
          <w:sz w:val="24"/>
          <w:szCs w:val="24"/>
        </w:rPr>
      </w:pPr>
      <w:r>
        <w:rPr>
          <w:rFonts w:ascii="Arial" w:hAnsi="Arial" w:cs="Arial"/>
          <w:b/>
          <w:bCs/>
          <w:sz w:val="24"/>
          <w:szCs w:val="24"/>
        </w:rPr>
        <w:t>References:</w:t>
      </w:r>
    </w:p>
    <w:sectPr w:rsidR="00686FBC" w:rsidRPr="00866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21034"/>
    <w:multiLevelType w:val="hybridMultilevel"/>
    <w:tmpl w:val="872E8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F2656B"/>
    <w:multiLevelType w:val="hybridMultilevel"/>
    <w:tmpl w:val="F4167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9248709">
    <w:abstractNumId w:val="1"/>
  </w:num>
  <w:num w:numId="2" w16cid:durableId="104125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B0"/>
    <w:rsid w:val="00000C6D"/>
    <w:rsid w:val="00013EC0"/>
    <w:rsid w:val="000240D0"/>
    <w:rsid w:val="00034FCF"/>
    <w:rsid w:val="00052F48"/>
    <w:rsid w:val="000B6CC6"/>
    <w:rsid w:val="000C654F"/>
    <w:rsid w:val="000D385A"/>
    <w:rsid w:val="00100DE8"/>
    <w:rsid w:val="00165537"/>
    <w:rsid w:val="001762BA"/>
    <w:rsid w:val="00195272"/>
    <w:rsid w:val="001B35D4"/>
    <w:rsid w:val="001D1300"/>
    <w:rsid w:val="002E3B0F"/>
    <w:rsid w:val="0031475F"/>
    <w:rsid w:val="0040328C"/>
    <w:rsid w:val="00410EBA"/>
    <w:rsid w:val="004272AB"/>
    <w:rsid w:val="004D3F32"/>
    <w:rsid w:val="004E3864"/>
    <w:rsid w:val="00604733"/>
    <w:rsid w:val="00615775"/>
    <w:rsid w:val="00686FBC"/>
    <w:rsid w:val="006E53CA"/>
    <w:rsid w:val="00810C32"/>
    <w:rsid w:val="00866E80"/>
    <w:rsid w:val="008A4EFA"/>
    <w:rsid w:val="009106B6"/>
    <w:rsid w:val="00974E76"/>
    <w:rsid w:val="009A4736"/>
    <w:rsid w:val="009B3679"/>
    <w:rsid w:val="009D1BAA"/>
    <w:rsid w:val="00A54F9E"/>
    <w:rsid w:val="00AA0CEB"/>
    <w:rsid w:val="00B07525"/>
    <w:rsid w:val="00C10F3F"/>
    <w:rsid w:val="00C8385F"/>
    <w:rsid w:val="00C84888"/>
    <w:rsid w:val="00CC67B0"/>
    <w:rsid w:val="00D40EE7"/>
    <w:rsid w:val="00D572F4"/>
    <w:rsid w:val="00D850F1"/>
    <w:rsid w:val="00DB41FB"/>
    <w:rsid w:val="00E75BB2"/>
    <w:rsid w:val="00ED2762"/>
    <w:rsid w:val="00FB7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929CE"/>
  <w15:chartTrackingRefBased/>
  <w15:docId w15:val="{0EE63807-E6D2-4446-AECE-E341F6D7B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E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701</Words>
  <Characters>4348</Characters>
  <Application>Microsoft Office Word</Application>
  <DocSecurity>0</DocSecurity>
  <Lines>74</Lines>
  <Paragraphs>28</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 Megha</dc:creator>
  <cp:keywords/>
  <dc:description/>
  <cp:lastModifiedBy>Lal, Megha</cp:lastModifiedBy>
  <cp:revision>43</cp:revision>
  <dcterms:created xsi:type="dcterms:W3CDTF">2024-12-03T20:10:00Z</dcterms:created>
  <dcterms:modified xsi:type="dcterms:W3CDTF">2024-12-03T20:41:00Z</dcterms:modified>
</cp:coreProperties>
</file>