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4C6E81"/>
          <w:sz w:val="24"/>
        </w:rPr>
        <w:t>OPEN AUTONOMOUS TRUST PROJECT</w:t>
      </w:r>
    </w:p>
    <w:p>
      <w:pPr>
        <w:pStyle w:val="Title"/>
        <w:jc w:val="center"/>
      </w:pPr>
      <w:r>
        <w:t>Unified Project, Protocol, Architecture, Framework, Benchmark, and Governance Specification</w:t>
      </w:r>
    </w:p>
    <w:p>
      <w:pPr>
        <w:pStyle w:val="Subtitle"/>
        <w:jc w:val="center"/>
      </w:pPr>
      <w:r>
        <w:t>Vendor-neutral runtime trust infrastructure for autonomous systems</w:t>
      </w:r>
    </w:p>
    <w:tbl>
      <w:tblPr>
        <w:tblStyle w:val="TableGrid"/>
        <w:tblW w:type="auto" w:w="0"/>
        <w:jc w:val="center"/>
        <w:tblLook w:firstColumn="1" w:firstRow="1" w:lastColumn="0" w:lastRow="0" w:noHBand="0" w:noVBand="1" w:val="04A0"/>
      </w:tblPr>
      <w:tblGrid>
        <w:gridCol w:w="4968"/>
        <w:gridCol w:w="4968"/>
      </w:tblGrid>
      <w:tr>
        <w:tc>
          <w:tcPr>
            <w:tcW w:type="dxa" w:w="4968"/>
            <w:shd w:fill="EAF2F8"/>
            <w:tcMar>
              <w:top w:w="100" w:type="dxa"/>
              <w:start w:w="120" w:type="dxa"/>
              <w:bottom w:w="100" w:type="dxa"/>
              <w:end w:w="120" w:type="dxa"/>
            </w:tcMar>
          </w:tcPr>
          <w:p>
            <w:r>
              <w:rPr>
                <w:b/>
              </w:rPr>
              <w:t>Version</w:t>
            </w:r>
          </w:p>
        </w:tc>
        <w:tc>
          <w:tcPr>
            <w:tcW w:type="dxa" w:w="4968"/>
            <w:tcMar>
              <w:top w:w="100" w:type="dxa"/>
              <w:start w:w="120" w:type="dxa"/>
              <w:bottom w:w="100" w:type="dxa"/>
              <w:end w:w="120" w:type="dxa"/>
            </w:tcMar>
          </w:tcPr>
          <w:p>
            <w:r>
              <w:t>0.1 Draft</w:t>
            </w:r>
          </w:p>
        </w:tc>
      </w:tr>
      <w:tr>
        <w:tc>
          <w:tcPr>
            <w:tcW w:type="dxa" w:w="4968"/>
            <w:shd w:fill="EAF2F8"/>
            <w:tcMar>
              <w:top w:w="100" w:type="dxa"/>
              <w:start w:w="120" w:type="dxa"/>
              <w:bottom w:w="100" w:type="dxa"/>
              <w:end w:w="120" w:type="dxa"/>
            </w:tcMar>
          </w:tcPr>
          <w:p>
            <w:r>
              <w:rPr>
                <w:b/>
              </w:rPr>
              <w:t>Status</w:t>
            </w:r>
          </w:p>
        </w:tc>
        <w:tc>
          <w:tcPr>
            <w:tcW w:type="dxa" w:w="4968"/>
            <w:tcMar>
              <w:top w:w="100" w:type="dxa"/>
              <w:start w:w="120" w:type="dxa"/>
              <w:bottom w:w="100" w:type="dxa"/>
              <w:end w:w="120" w:type="dxa"/>
            </w:tcMar>
          </w:tcPr>
          <w:p>
            <w:r>
              <w:t>Experimental / Research Prototype</w:t>
            </w:r>
          </w:p>
        </w:tc>
      </w:tr>
      <w:tr>
        <w:tc>
          <w:tcPr>
            <w:tcW w:type="dxa" w:w="4968"/>
            <w:shd w:fill="EAF2F8"/>
            <w:tcMar>
              <w:top w:w="100" w:type="dxa"/>
              <w:start w:w="120" w:type="dxa"/>
              <w:bottom w:w="100" w:type="dxa"/>
              <w:end w:w="120" w:type="dxa"/>
            </w:tcMar>
          </w:tcPr>
          <w:p>
            <w:r>
              <w:rPr>
                <w:b/>
              </w:rPr>
              <w:t>Primary use</w:t>
            </w:r>
          </w:p>
        </w:tc>
        <w:tc>
          <w:tcPr>
            <w:tcW w:type="dxa" w:w="4968"/>
            <w:tcMar>
              <w:top w:w="100" w:type="dxa"/>
              <w:start w:w="120" w:type="dxa"/>
              <w:bottom w:w="100" w:type="dxa"/>
              <w:end w:w="120" w:type="dxa"/>
            </w:tcMar>
          </w:tcPr>
          <w:p>
            <w:r>
              <w:t>Coding-agent implementation handoff and benchmark design</w:t>
            </w:r>
          </w:p>
        </w:tc>
      </w:tr>
      <w:tr>
        <w:tc>
          <w:tcPr>
            <w:tcW w:type="dxa" w:w="4968"/>
            <w:shd w:fill="EAF2F8"/>
            <w:tcMar>
              <w:top w:w="100" w:type="dxa"/>
              <w:start w:w="120" w:type="dxa"/>
              <w:bottom w:w="100" w:type="dxa"/>
              <w:end w:w="120" w:type="dxa"/>
            </w:tcMar>
          </w:tcPr>
          <w:p>
            <w:r>
              <w:rPr>
                <w:b/>
              </w:rPr>
              <w:t>License intent</w:t>
            </w:r>
          </w:p>
        </w:tc>
        <w:tc>
          <w:tcPr>
            <w:tcW w:type="dxa" w:w="4968"/>
            <w:tcMar>
              <w:top w:w="100" w:type="dxa"/>
              <w:start w:w="120" w:type="dxa"/>
              <w:bottom w:w="100" w:type="dxa"/>
              <w:end w:w="120" w:type="dxa"/>
            </w:tcMar>
          </w:tcPr>
          <w:p>
            <w:r>
              <w:t>Open specification and open-source reference implementation</w:t>
            </w:r>
          </w:p>
        </w:tc>
      </w:tr>
      <w:tr>
        <w:tc>
          <w:tcPr>
            <w:tcW w:type="dxa" w:w="4968"/>
            <w:shd w:fill="EAF2F8"/>
            <w:tcMar>
              <w:top w:w="100" w:type="dxa"/>
              <w:start w:w="120" w:type="dxa"/>
              <w:bottom w:w="100" w:type="dxa"/>
              <w:end w:w="120" w:type="dxa"/>
            </w:tcMar>
          </w:tcPr>
          <w:p>
            <w:r>
              <w:rPr>
                <w:b/>
              </w:rPr>
              <w:t>Date</w:t>
            </w:r>
          </w:p>
        </w:tc>
        <w:tc>
          <w:tcPr>
            <w:tcW w:type="dxa" w:w="4968"/>
            <w:tcMar>
              <w:top w:w="100" w:type="dxa"/>
              <w:start w:w="120" w:type="dxa"/>
              <w:bottom w:w="100" w:type="dxa"/>
              <w:end w:w="120" w:type="dxa"/>
            </w:tcMar>
          </w:tcPr>
          <w:p>
            <w:r>
              <w:t>July 2026</w:t>
            </w:r>
          </w:p>
        </w:tc>
      </w:tr>
    </w:tbl>
    <w:p>
      <w:pPr>
        <w:spacing w:before="520"/>
        <w:jc w:val="center"/>
      </w:pPr>
      <w:r>
        <w:rPr>
          <w:i/>
          <w:color w:val="4C6E81"/>
        </w:rPr>
        <w:t>Working names: OATP • OATS • OATBench • OATF • OAT-RFC</w:t>
      </w:r>
    </w:p>
    <w:p>
      <w:r>
        <w:br w:type="page"/>
      </w:r>
    </w:p>
    <w:p>
      <w:pPr>
        <w:pStyle w:val="Heading1"/>
      </w:pPr>
      <w:r>
        <w:t>Executive Summary</w:t>
      </w:r>
    </w:p>
    <w:p>
      <w:r>
        <w:t>The Open Autonomous Trust Project is an open, vendor-neutral effort to define and evaluate distributed runtime trust for autonomous AI agents and other autonomous systems. It addresses a gap between identity, authorization, policy enforcement, observability, and runtime resilience.</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Core distinction</w:t>
            </w:r>
          </w:p>
          <w:p>
            <w:pPr>
              <w:spacing w:after="0"/>
            </w:pPr>
            <w:r>
              <w:t>Identity answers who an actor is. Authorization and policy answer what it may do. Observability records what happened. This project asks whether the autonomous actor should continue to be trusted right now—and enables each participant to answer locally using signed, scoped, expiring observations.</w:t>
            </w:r>
          </w:p>
        </w:tc>
      </w:tr>
    </w:tbl>
    <w:p/>
    <w:p>
      <w:r>
        <w:t>The project deliberately does not define a universal trust score, proprietary control plane, vendor-specific enforcement mechanism, or new policy language. Instead, it standardizes interoperable observation exchange, evidence references, protocol invariants, conformance requirements, and a benchmark for comparing implementations under realistic attacks and distributed-system failures.</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83B56"/>
            <w:vAlign w:val="center"/>
            <w:tcMar>
              <w:top w:w="100" w:type="dxa"/>
              <w:start w:w="120" w:type="dxa"/>
              <w:bottom w:w="100" w:type="dxa"/>
              <w:end w:w="120" w:type="dxa"/>
            </w:tcMar>
          </w:tcPr>
          <w:p>
            <w:pPr>
              <w:jc w:val="center"/>
            </w:pPr>
            <w:r>
              <w:rPr>
                <w:b/>
                <w:color w:val="FFFFFF"/>
                <w:sz w:val="18"/>
              </w:rPr>
              <w:t>Component</w:t>
            </w:r>
          </w:p>
        </w:tc>
        <w:tc>
          <w:tcPr>
            <w:tcW w:type="dxa" w:w="3168"/>
            <w:shd w:fill="183B56"/>
            <w:vAlign w:val="center"/>
            <w:tcMar>
              <w:top w:w="100" w:type="dxa"/>
              <w:start w:w="120" w:type="dxa"/>
              <w:bottom w:w="100" w:type="dxa"/>
              <w:end w:w="120" w:type="dxa"/>
            </w:tcMar>
          </w:tcPr>
          <w:p>
            <w:pPr>
              <w:jc w:val="center"/>
            </w:pPr>
            <w:r>
              <w:rPr>
                <w:b/>
                <w:color w:val="FFFFFF"/>
                <w:sz w:val="18"/>
              </w:rPr>
              <w:t>Purpose</w:t>
            </w:r>
          </w:p>
        </w:tc>
        <w:tc>
          <w:tcPr>
            <w:tcW w:type="dxa" w:w="5184"/>
            <w:shd w:fill="183B56"/>
            <w:vAlign w:val="center"/>
            <w:tcMar>
              <w:top w:w="100" w:type="dxa"/>
              <w:start w:w="120" w:type="dxa"/>
              <w:bottom w:w="100" w:type="dxa"/>
              <w:end w:w="120" w:type="dxa"/>
            </w:tcMar>
          </w:tcPr>
          <w:p>
            <w:pPr>
              <w:jc w:val="center"/>
            </w:pPr>
            <w:r>
              <w:rPr>
                <w:b/>
                <w:color w:val="FFFFFF"/>
                <w:sz w:val="18"/>
              </w:rPr>
              <w:t>Primary output</w:t>
            </w:r>
          </w:p>
        </w:tc>
      </w:tr>
      <w:tr>
        <w:tc>
          <w:tcPr>
            <w:tcW w:type="dxa" w:w="1584"/>
            <w:vAlign w:val="center"/>
            <w:tcMar>
              <w:top w:w="100" w:type="dxa"/>
              <w:start w:w="120" w:type="dxa"/>
              <w:bottom w:w="100" w:type="dxa"/>
              <w:end w:w="120" w:type="dxa"/>
            </w:tcMar>
          </w:tcPr>
          <w:p>
            <w:r>
              <w:rPr>
                <w:sz w:val="18"/>
              </w:rPr>
              <w:t>OATP</w:t>
            </w:r>
          </w:p>
        </w:tc>
        <w:tc>
          <w:tcPr>
            <w:tcW w:type="dxa" w:w="3168"/>
            <w:vAlign w:val="center"/>
            <w:tcMar>
              <w:top w:w="100" w:type="dxa"/>
              <w:start w:w="120" w:type="dxa"/>
              <w:bottom w:w="100" w:type="dxa"/>
              <w:end w:w="120" w:type="dxa"/>
            </w:tcMar>
          </w:tcPr>
          <w:p>
            <w:r>
              <w:rPr>
                <w:sz w:val="18"/>
              </w:rPr>
              <w:t>Open Autonomous Trust Protocol</w:t>
            </w:r>
          </w:p>
        </w:tc>
        <w:tc>
          <w:tcPr>
            <w:tcW w:type="dxa" w:w="5184"/>
            <w:vAlign w:val="center"/>
            <w:tcMar>
              <w:top w:w="100" w:type="dxa"/>
              <w:start w:w="120" w:type="dxa"/>
              <w:bottom w:w="100" w:type="dxa"/>
              <w:end w:w="120" w:type="dxa"/>
            </w:tcMar>
          </w:tcPr>
          <w:p>
            <w:r>
              <w:rPr>
                <w:sz w:val="18"/>
              </w:rPr>
              <w:t>Wire semantics, message schemas, identity/signature rules, replay protection, synchronization and conformance</w:t>
            </w:r>
          </w:p>
        </w:tc>
      </w:tr>
      <w:tr>
        <w:tc>
          <w:tcPr>
            <w:tcW w:type="dxa" w:w="1584"/>
            <w:vAlign w:val="center"/>
            <w:tcMar>
              <w:top w:w="100" w:type="dxa"/>
              <w:start w:w="120" w:type="dxa"/>
              <w:bottom w:w="100" w:type="dxa"/>
              <w:end w:w="120" w:type="dxa"/>
            </w:tcMar>
            <w:shd w:fill="F1F5F8"/>
          </w:tcPr>
          <w:p>
            <w:r>
              <w:rPr>
                <w:sz w:val="18"/>
              </w:rPr>
              <w:t>OATS</w:t>
            </w:r>
          </w:p>
        </w:tc>
        <w:tc>
          <w:tcPr>
            <w:tcW w:type="dxa" w:w="3168"/>
            <w:vAlign w:val="center"/>
            <w:tcMar>
              <w:top w:w="100" w:type="dxa"/>
              <w:start w:w="120" w:type="dxa"/>
              <w:bottom w:w="100" w:type="dxa"/>
              <w:end w:w="120" w:type="dxa"/>
            </w:tcMar>
            <w:shd w:fill="F1F5F8"/>
          </w:tcPr>
          <w:p>
            <w:r>
              <w:rPr>
                <w:sz w:val="18"/>
              </w:rPr>
              <w:t>Open Autonomous Trust Specification</w:t>
            </w:r>
          </w:p>
        </w:tc>
        <w:tc>
          <w:tcPr>
            <w:tcW w:type="dxa" w:w="5184"/>
            <w:vAlign w:val="center"/>
            <w:tcMar>
              <w:top w:w="100" w:type="dxa"/>
              <w:start w:w="120" w:type="dxa"/>
              <w:bottom w:w="100" w:type="dxa"/>
              <w:end w:w="120" w:type="dxa"/>
            </w:tcMar>
            <w:shd w:fill="F1F5F8"/>
          </w:tcPr>
          <w:p>
            <w:r>
              <w:rPr>
                <w:sz w:val="18"/>
              </w:rPr>
              <w:t>Threat model, architectural principles, state machines, trust lifecycle, containment and recovery model</w:t>
            </w:r>
          </w:p>
        </w:tc>
      </w:tr>
      <w:tr>
        <w:tc>
          <w:tcPr>
            <w:tcW w:type="dxa" w:w="1584"/>
            <w:vAlign w:val="center"/>
            <w:tcMar>
              <w:top w:w="100" w:type="dxa"/>
              <w:start w:w="120" w:type="dxa"/>
              <w:bottom w:w="100" w:type="dxa"/>
              <w:end w:w="120" w:type="dxa"/>
            </w:tcMar>
          </w:tcPr>
          <w:p>
            <w:r>
              <w:rPr>
                <w:sz w:val="18"/>
              </w:rPr>
              <w:t>OATBench</w:t>
            </w:r>
          </w:p>
        </w:tc>
        <w:tc>
          <w:tcPr>
            <w:tcW w:type="dxa" w:w="3168"/>
            <w:vAlign w:val="center"/>
            <w:tcMar>
              <w:top w:w="100" w:type="dxa"/>
              <w:start w:w="120" w:type="dxa"/>
              <w:bottom w:w="100" w:type="dxa"/>
              <w:end w:w="120" w:type="dxa"/>
            </w:tcMar>
          </w:tcPr>
          <w:p>
            <w:r>
              <w:rPr>
                <w:sz w:val="18"/>
              </w:rPr>
              <w:t>Open Autonomous Trust Benchmark</w:t>
            </w:r>
          </w:p>
        </w:tc>
        <w:tc>
          <w:tcPr>
            <w:tcW w:type="dxa" w:w="5184"/>
            <w:vAlign w:val="center"/>
            <w:tcMar>
              <w:top w:w="100" w:type="dxa"/>
              <w:start w:w="120" w:type="dxa"/>
              <w:bottom w:w="100" w:type="dxa"/>
              <w:end w:w="120" w:type="dxa"/>
            </w:tcMar>
          </w:tcPr>
          <w:p>
            <w:r>
              <w:rPr>
                <w:sz w:val="18"/>
              </w:rPr>
              <w:t>Attack corpus, workloads, metrics, harnesses, reproducibility artifacts and comparative results</w:t>
            </w:r>
          </w:p>
        </w:tc>
      </w:tr>
      <w:tr>
        <w:tc>
          <w:tcPr>
            <w:tcW w:type="dxa" w:w="1584"/>
            <w:vAlign w:val="center"/>
            <w:tcMar>
              <w:top w:w="100" w:type="dxa"/>
              <w:start w:w="120" w:type="dxa"/>
              <w:bottom w:w="100" w:type="dxa"/>
              <w:end w:w="120" w:type="dxa"/>
            </w:tcMar>
            <w:shd w:fill="F1F5F8"/>
          </w:tcPr>
          <w:p>
            <w:r>
              <w:rPr>
                <w:sz w:val="18"/>
              </w:rPr>
              <w:t>OATF</w:t>
            </w:r>
          </w:p>
        </w:tc>
        <w:tc>
          <w:tcPr>
            <w:tcW w:type="dxa" w:w="3168"/>
            <w:vAlign w:val="center"/>
            <w:tcMar>
              <w:top w:w="100" w:type="dxa"/>
              <w:start w:w="120" w:type="dxa"/>
              <w:bottom w:w="100" w:type="dxa"/>
              <w:end w:w="120" w:type="dxa"/>
            </w:tcMar>
            <w:shd w:fill="F1F5F8"/>
          </w:tcPr>
          <w:p>
            <w:r>
              <w:rPr>
                <w:sz w:val="18"/>
              </w:rPr>
              <w:t>Open Autonomous Trust Framework</w:t>
            </w:r>
          </w:p>
        </w:tc>
        <w:tc>
          <w:tcPr>
            <w:tcW w:type="dxa" w:w="5184"/>
            <w:vAlign w:val="center"/>
            <w:tcMar>
              <w:top w:w="100" w:type="dxa"/>
              <w:start w:w="120" w:type="dxa"/>
              <w:bottom w:w="100" w:type="dxa"/>
              <w:end w:w="120" w:type="dxa"/>
            </w:tcMar>
            <w:shd w:fill="F1F5F8"/>
          </w:tcPr>
          <w:p>
            <w:r>
              <w:rPr>
                <w:sz w:val="18"/>
              </w:rPr>
              <w:t>Readable reference implementation and integrations used as the initial benchmark baseline</w:t>
            </w:r>
          </w:p>
        </w:tc>
      </w:tr>
      <w:tr>
        <w:tc>
          <w:tcPr>
            <w:tcW w:type="dxa" w:w="1584"/>
            <w:vAlign w:val="center"/>
            <w:tcMar>
              <w:top w:w="100" w:type="dxa"/>
              <w:start w:w="120" w:type="dxa"/>
              <w:bottom w:w="100" w:type="dxa"/>
              <w:end w:w="120" w:type="dxa"/>
            </w:tcMar>
          </w:tcPr>
          <w:p>
            <w:r>
              <w:rPr>
                <w:sz w:val="18"/>
              </w:rPr>
              <w:t>OAT-RFC</w:t>
            </w:r>
          </w:p>
        </w:tc>
        <w:tc>
          <w:tcPr>
            <w:tcW w:type="dxa" w:w="3168"/>
            <w:vAlign w:val="center"/>
            <w:tcMar>
              <w:top w:w="100" w:type="dxa"/>
              <w:start w:w="120" w:type="dxa"/>
              <w:bottom w:w="100" w:type="dxa"/>
              <w:end w:w="120" w:type="dxa"/>
            </w:tcMar>
          </w:tcPr>
          <w:p>
            <w:r>
              <w:rPr>
                <w:sz w:val="18"/>
              </w:rPr>
              <w:t>Open change process</w:t>
            </w:r>
          </w:p>
        </w:tc>
        <w:tc>
          <w:tcPr>
            <w:tcW w:type="dxa" w:w="5184"/>
            <w:vAlign w:val="center"/>
            <w:tcMar>
              <w:top w:w="100" w:type="dxa"/>
              <w:start w:w="120" w:type="dxa"/>
              <w:bottom w:w="100" w:type="dxa"/>
              <w:end w:w="120" w:type="dxa"/>
            </w:tcMar>
          </w:tcPr>
          <w:p>
            <w:r>
              <w:rPr>
                <w:sz w:val="18"/>
              </w:rPr>
              <w:t>Transparent, evidence-driven evolution of protocol, architecture, benchmark and framework</w:t>
            </w:r>
          </w:p>
        </w:tc>
      </w:tr>
    </w:tbl>
    <w:p/>
    <w:p>
      <w:pPr>
        <w:pStyle w:val="Heading1"/>
      </w:pPr>
      <w:r>
        <w:t>1. Vision and Motivation</w:t>
      </w:r>
    </w:p>
    <w:p>
      <w:r>
        <w:t>Autonomous agents are becoming long-lived, tool-using principals that can delegate work, retrieve and write memory, use credentials, communicate with other agents, and affect real systems. Existing controls remain necessary, but they are individually incomplete:</w:t>
      </w:r>
    </w:p>
    <w:p>
      <w:pPr>
        <w:pStyle w:val="ListBullet"/>
      </w:pPr>
      <w:r>
        <w:t>Identity establishes who or what a principal is.</w:t>
      </w:r>
    </w:p>
    <w:p>
      <w:pPr>
        <w:pStyle w:val="ListBullet"/>
      </w:pPr>
      <w:r>
        <w:t>Authorization and policy engines determine whether an action is allowed at a point in time.</w:t>
      </w:r>
    </w:p>
    <w:p>
      <w:pPr>
        <w:pStyle w:val="ListBullet"/>
      </w:pPr>
      <w:r>
        <w:t>Guardrails and detectors attempt to prevent or identify harmful inputs and outputs.</w:t>
      </w:r>
    </w:p>
    <w:p>
      <w:pPr>
        <w:pStyle w:val="ListBullet"/>
      </w:pPr>
      <w:r>
        <w:t>Observability captures traces, logs, metrics, and events after or during execution.</w:t>
      </w:r>
    </w:p>
    <w:p>
      <w:pPr>
        <w:pStyle w:val="ListBullet"/>
      </w:pPr>
      <w:r>
        <w:t>Incident-response systems often depend on centralized visibility and human coordination.</w:t>
      </w:r>
    </w:p>
    <w:p>
      <w:r>
        <w:t>A policy may correctly authorize an action while the agent invoking it has become behaviorally compromised, its memory has been contaminated, its credentials have been stolen, or the policy context has become stale. The proposed layer therefore complements—not replaces—policy enforcement.</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Foundational statement</w:t>
            </w:r>
          </w:p>
          <w:p>
            <w:pPr>
              <w:spacing w:after="0"/>
            </w:pPr>
            <w:r>
              <w:t>Policies authorize capabilities. Runtime trust determines whether behavior remains worthy of those capabilities.</w:t>
            </w:r>
          </w:p>
        </w:tc>
      </w:tr>
    </w:tbl>
    <w:p/>
    <w:p>
      <w:r>
        <w:t>The architecture combines two metaphors. The immune-system model motivates local sensing, containment, recovery, and learned response. The routing-protocol model motivates decentralized exchange, partial views, failure tolerance, convergence, and operation without a single omniscient controller.</w:t>
      </w:r>
    </w:p>
    <w:p>
      <w:pPr>
        <w:pStyle w:val="Heading2"/>
      </w:pPr>
      <w:r>
        <w:t>1.1 Long-term vision</w:t>
      </w:r>
    </w:p>
    <w:p>
      <w:r>
        <w:t>Establish an open interoperability layer for autonomous trust in the same spirit that open standards established shared foundations for observability, workload identity, authorization, and tool interoperability. Autonomous AI agents are the initial profile, but the core abstraction is an autonomous actor operating within a distributed system.</w:t>
      </w:r>
    </w:p>
    <w:p>
      <w:pPr>
        <w:pStyle w:val="Heading2"/>
      </w:pPr>
      <w:r>
        <w:t>1.2 Research hypothesis</w:t>
      </w:r>
    </w:p>
    <w:p>
      <w:r>
        <w:t>A distributed runtime trust system that exchanges signed, scoped, expiring observations and makes bounded local decisions can reduce attack success and compromise propagation while preserving useful autonomy, even when some observers or protocol participants are compromised.</w:t>
      </w:r>
    </w:p>
    <w:p>
      <w:pPr>
        <w:pStyle w:val="Heading1"/>
      </w:pPr>
      <w:r>
        <w:t>2. Scope, Goals, and Non-Goals</w:t>
      </w:r>
    </w:p>
    <w:p>
      <w:pPr>
        <w:pStyle w:val="Heading2"/>
      </w:pPr>
      <w:r>
        <w:t>2.1 Goals</w:t>
      </w:r>
    </w:p>
    <w:p>
      <w:pPr>
        <w:pStyle w:val="ListBullet"/>
      </w:pPr>
      <w:r>
        <w:t>Define interoperable observation and evidence envelopes for runtime trust.</w:t>
      </w:r>
    </w:p>
    <w:p>
      <w:pPr>
        <w:pStyle w:val="ListBullet"/>
      </w:pPr>
      <w:r>
        <w:t>Enable each participant to compute trust locally without a global trust oracle.</w:t>
      </w:r>
    </w:p>
    <w:p>
      <w:pPr>
        <w:pStyle w:val="ListBullet"/>
      </w:pPr>
      <w:r>
        <w:t>Support bounded, reversible containment and evidence-driven recovery.</w:t>
      </w:r>
    </w:p>
    <w:p>
      <w:pPr>
        <w:pStyle w:val="ListBullet"/>
      </w:pPr>
      <w:r>
        <w:t>Remain useful during partitions, node failures, delayed delivery, and partial compromise.</w:t>
      </w:r>
    </w:p>
    <w:p>
      <w:pPr>
        <w:pStyle w:val="ListBullet"/>
      </w:pPr>
      <w:r>
        <w:t>Resist spoofing, replay, poisoning, Sybil behavior, collusion, and suppression.</w:t>
      </w:r>
    </w:p>
    <w:p>
      <w:pPr>
        <w:pStyle w:val="ListBullet"/>
      </w:pPr>
      <w:r>
        <w:t>Integrate with existing identity, policy, authorization, agent, transport, and observability systems.</w:t>
      </w:r>
    </w:p>
    <w:p>
      <w:pPr>
        <w:pStyle w:val="ListBullet"/>
      </w:pPr>
      <w:r>
        <w:t>Provide a reproducible benchmark that measures security, reliability, utility, and cost.</w:t>
      </w:r>
    </w:p>
    <w:p>
      <w:pPr>
        <w:pStyle w:val="ListBullet"/>
      </w:pPr>
      <w:r>
        <w:t>Enable competing trust algorithms to be compared under identical scenarios.</w:t>
      </w:r>
    </w:p>
    <w:p>
      <w:pPr>
        <w:pStyle w:val="Heading2"/>
      </w:pPr>
      <w:r>
        <w:t>2.2 Non-goals</w:t>
      </w:r>
    </w:p>
    <w:p>
      <w:pPr>
        <w:pStyle w:val="ListBullet"/>
      </w:pPr>
      <w:r>
        <w:t>Create another prompt-injection detector, LLM firewall, IAM system, SIEM, or policy language.</w:t>
      </w:r>
    </w:p>
    <w:p>
      <w:pPr>
        <w:pStyle w:val="ListBullet"/>
      </w:pPr>
      <w:r>
        <w:t>Define a mandatory global trust score or universal anomaly model.</w:t>
      </w:r>
    </w:p>
    <w:p>
      <w:pPr>
        <w:pStyle w:val="ListBullet"/>
      </w:pPr>
      <w:r>
        <w:t>Require a specific cloud, model provider, orchestration framework, vector database, operating system, identity provider, policy engine, transport, or signature implementation.</w:t>
      </w:r>
    </w:p>
    <w:p>
      <w:pPr>
        <w:pStyle w:val="ListBullet"/>
      </w:pPr>
      <w:r>
        <w:t>Allow any participant to impose a global trust state or unilateral global quarantine.</w:t>
      </w:r>
    </w:p>
    <w:p>
      <w:pPr>
        <w:pStyle w:val="ListBullet"/>
      </w:pPr>
      <w:r>
        <w:t>Claim that policy enforcement is obsolete; policy remains a first-line and complementary control.</w:t>
      </w:r>
    </w:p>
    <w:p>
      <w:pPr>
        <w:pStyle w:val="ListBullet"/>
      </w:pPr>
      <w:r>
        <w:t>Optimize prematurely for production-scale throughput before correctness, reproducibility, and security properties are understood.</w:t>
      </w:r>
    </w:p>
    <w:p>
      <w:pPr>
        <w:pStyle w:val="Heading2"/>
      </w:pPr>
      <w:r>
        <w:t>2.3 Mandatory neutrality requirements</w:t>
      </w:r>
    </w:p>
    <w:tbl>
      <w:tblPr>
        <w:tblStyle w:val="TableGrid"/>
        <w:tblW w:type="auto" w:w="0"/>
        <w:jc w:val="center"/>
        <w:tblLook w:firstColumn="1" w:firstRow="1" w:lastColumn="0" w:lastRow="0" w:noHBand="0" w:noVBand="1" w:val="04A0"/>
      </w:tblPr>
      <w:tblGrid>
        <w:gridCol w:w="4968"/>
        <w:gridCol w:w="4968"/>
      </w:tblGrid>
      <w:tr>
        <w:tc>
          <w:tcPr>
            <w:tcW w:type="dxa" w:w="2016"/>
            <w:shd w:fill="183B56"/>
            <w:vAlign w:val="center"/>
            <w:tcMar>
              <w:top w:w="100" w:type="dxa"/>
              <w:start w:w="120" w:type="dxa"/>
              <w:bottom w:w="100" w:type="dxa"/>
              <w:end w:w="120" w:type="dxa"/>
            </w:tcMar>
          </w:tcPr>
          <w:p>
            <w:pPr>
              <w:jc w:val="center"/>
            </w:pPr>
            <w:r>
              <w:rPr>
                <w:b/>
                <w:color w:val="FFFFFF"/>
                <w:sz w:val="18"/>
              </w:rPr>
              <w:t>Dimension</w:t>
            </w:r>
          </w:p>
        </w:tc>
        <w:tc>
          <w:tcPr>
            <w:tcW w:type="dxa" w:w="7920"/>
            <w:shd w:fill="183B56"/>
            <w:vAlign w:val="center"/>
            <w:tcMar>
              <w:top w:w="100" w:type="dxa"/>
              <w:start w:w="120" w:type="dxa"/>
              <w:bottom w:w="100" w:type="dxa"/>
              <w:end w:w="120" w:type="dxa"/>
            </w:tcMar>
          </w:tcPr>
          <w:p>
            <w:pPr>
              <w:jc w:val="center"/>
            </w:pPr>
            <w:r>
              <w:rPr>
                <w:b/>
                <w:color w:val="FFFFFF"/>
                <w:sz w:val="18"/>
              </w:rPr>
              <w:t>Requirement</w:t>
            </w:r>
          </w:p>
        </w:tc>
      </w:tr>
      <w:tr>
        <w:tc>
          <w:tcPr>
            <w:tcW w:type="dxa" w:w="2016"/>
            <w:vAlign w:val="center"/>
            <w:tcMar>
              <w:top w:w="100" w:type="dxa"/>
              <w:start w:w="120" w:type="dxa"/>
              <w:bottom w:w="100" w:type="dxa"/>
              <w:end w:w="120" w:type="dxa"/>
            </w:tcMar>
          </w:tcPr>
          <w:p>
            <w:r>
              <w:rPr>
                <w:sz w:val="18"/>
              </w:rPr>
              <w:t>Vendor</w:t>
            </w:r>
          </w:p>
        </w:tc>
        <w:tc>
          <w:tcPr>
            <w:tcW w:type="dxa" w:w="7920"/>
            <w:vAlign w:val="center"/>
            <w:tcMar>
              <w:top w:w="100" w:type="dxa"/>
              <w:start w:w="120" w:type="dxa"/>
              <w:bottom w:w="100" w:type="dxa"/>
              <w:end w:w="120" w:type="dxa"/>
            </w:tcMar>
          </w:tcPr>
          <w:p>
            <w:r>
              <w:rPr>
                <w:sz w:val="18"/>
              </w:rPr>
              <w:t>No protocol feature may require a specific commercial provider or proprietary service.</w:t>
            </w:r>
          </w:p>
        </w:tc>
      </w:tr>
      <w:tr>
        <w:tc>
          <w:tcPr>
            <w:tcW w:type="dxa" w:w="2016"/>
            <w:vAlign w:val="center"/>
            <w:tcMar>
              <w:top w:w="100" w:type="dxa"/>
              <w:start w:w="120" w:type="dxa"/>
              <w:bottom w:w="100" w:type="dxa"/>
              <w:end w:w="120" w:type="dxa"/>
            </w:tcMar>
            <w:shd w:fill="F1F5F8"/>
          </w:tcPr>
          <w:p>
            <w:r>
              <w:rPr>
                <w:sz w:val="18"/>
              </w:rPr>
              <w:t>Framework</w:t>
            </w:r>
          </w:p>
        </w:tc>
        <w:tc>
          <w:tcPr>
            <w:tcW w:type="dxa" w:w="7920"/>
            <w:vAlign w:val="center"/>
            <w:tcMar>
              <w:top w:w="100" w:type="dxa"/>
              <w:start w:w="120" w:type="dxa"/>
              <w:bottom w:w="100" w:type="dxa"/>
              <w:end w:w="120" w:type="dxa"/>
            </w:tcMar>
            <w:shd w:fill="F1F5F8"/>
          </w:tcPr>
          <w:p>
            <w:r>
              <w:rPr>
                <w:sz w:val="18"/>
              </w:rPr>
              <w:t>Agent runtimes and orchestration systems integrate through adapters or profiles, not protocol forks.</w:t>
            </w:r>
          </w:p>
        </w:tc>
      </w:tr>
      <w:tr>
        <w:tc>
          <w:tcPr>
            <w:tcW w:type="dxa" w:w="2016"/>
            <w:vAlign w:val="center"/>
            <w:tcMar>
              <w:top w:w="100" w:type="dxa"/>
              <w:start w:w="120" w:type="dxa"/>
              <w:bottom w:w="100" w:type="dxa"/>
              <w:end w:w="120" w:type="dxa"/>
            </w:tcMar>
          </w:tcPr>
          <w:p>
            <w:r>
              <w:rPr>
                <w:sz w:val="18"/>
              </w:rPr>
              <w:t>Algorithm</w:t>
            </w:r>
          </w:p>
        </w:tc>
        <w:tc>
          <w:tcPr>
            <w:tcW w:type="dxa" w:w="7920"/>
            <w:vAlign w:val="center"/>
            <w:tcMar>
              <w:top w:w="100" w:type="dxa"/>
              <w:start w:w="120" w:type="dxa"/>
              <w:bottom w:w="100" w:type="dxa"/>
              <w:end w:w="120" w:type="dxa"/>
            </w:tcMar>
          </w:tcPr>
          <w:p>
            <w:r>
              <w:rPr>
                <w:sz w:val="18"/>
              </w:rPr>
              <w:t>Trust scoring, anomaly detection, observer weighting, and response selection remain implementation-specific.</w:t>
            </w:r>
          </w:p>
        </w:tc>
      </w:tr>
      <w:tr>
        <w:tc>
          <w:tcPr>
            <w:tcW w:type="dxa" w:w="2016"/>
            <w:vAlign w:val="center"/>
            <w:tcMar>
              <w:top w:w="100" w:type="dxa"/>
              <w:start w:w="120" w:type="dxa"/>
              <w:bottom w:w="100" w:type="dxa"/>
              <w:end w:w="120" w:type="dxa"/>
            </w:tcMar>
            <w:shd w:fill="F1F5F8"/>
          </w:tcPr>
          <w:p>
            <w:r>
              <w:rPr>
                <w:sz w:val="18"/>
              </w:rPr>
              <w:t>Transport</w:t>
            </w:r>
          </w:p>
        </w:tc>
        <w:tc>
          <w:tcPr>
            <w:tcW w:type="dxa" w:w="7920"/>
            <w:vAlign w:val="center"/>
            <w:tcMar>
              <w:top w:w="100" w:type="dxa"/>
              <w:start w:w="120" w:type="dxa"/>
              <w:bottom w:w="100" w:type="dxa"/>
              <w:end w:w="120" w:type="dxa"/>
            </w:tcMar>
            <w:shd w:fill="F1F5F8"/>
          </w:tcPr>
          <w:p>
            <w:r>
              <w:rPr>
                <w:sz w:val="18"/>
              </w:rPr>
              <w:t>The protocol semantics must be implementable over multiple transports.</w:t>
            </w:r>
          </w:p>
        </w:tc>
      </w:tr>
      <w:tr>
        <w:tc>
          <w:tcPr>
            <w:tcW w:type="dxa" w:w="2016"/>
            <w:vAlign w:val="center"/>
            <w:tcMar>
              <w:top w:w="100" w:type="dxa"/>
              <w:start w:w="120" w:type="dxa"/>
              <w:bottom w:w="100" w:type="dxa"/>
              <w:end w:w="120" w:type="dxa"/>
            </w:tcMar>
          </w:tcPr>
          <w:p>
            <w:r>
              <w:rPr>
                <w:sz w:val="18"/>
              </w:rPr>
              <w:t>Policy</w:t>
            </w:r>
          </w:p>
        </w:tc>
        <w:tc>
          <w:tcPr>
            <w:tcW w:type="dxa" w:w="7920"/>
            <w:vAlign w:val="center"/>
            <w:tcMar>
              <w:top w:w="100" w:type="dxa"/>
              <w:start w:w="120" w:type="dxa"/>
              <w:bottom w:w="100" w:type="dxa"/>
              <w:end w:w="120" w:type="dxa"/>
            </w:tcMar>
          </w:tcPr>
          <w:p>
            <w:r>
              <w:rPr>
                <w:sz w:val="18"/>
              </w:rPr>
              <w:t>Existing systems such as Cedar, OPA/Rego, OpenFGA, IAM and RBAC are integrations and signals, not dependencies.</w:t>
            </w:r>
          </w:p>
        </w:tc>
      </w:tr>
      <w:tr>
        <w:tc>
          <w:tcPr>
            <w:tcW w:type="dxa" w:w="2016"/>
            <w:vAlign w:val="center"/>
            <w:tcMar>
              <w:top w:w="100" w:type="dxa"/>
              <w:start w:w="120" w:type="dxa"/>
              <w:bottom w:w="100" w:type="dxa"/>
              <w:end w:w="120" w:type="dxa"/>
            </w:tcMar>
            <w:shd w:fill="F1F5F8"/>
          </w:tcPr>
          <w:p>
            <w:r>
              <w:rPr>
                <w:sz w:val="18"/>
              </w:rPr>
              <w:t>Identity</w:t>
            </w:r>
          </w:p>
        </w:tc>
        <w:tc>
          <w:tcPr>
            <w:tcW w:type="dxa" w:w="7920"/>
            <w:vAlign w:val="center"/>
            <w:tcMar>
              <w:top w:w="100" w:type="dxa"/>
              <w:start w:w="120" w:type="dxa"/>
              <w:bottom w:w="100" w:type="dxa"/>
              <w:end w:w="120" w:type="dxa"/>
            </w:tcMar>
            <w:shd w:fill="F1F5F8"/>
          </w:tcPr>
          <w:p>
            <w:r>
              <w:rPr>
                <w:sz w:val="18"/>
              </w:rPr>
              <w:t>The protocol consumes verifiable identities but does not mandate one issuer or credential technology.</w:t>
            </w:r>
          </w:p>
        </w:tc>
      </w:tr>
      <w:tr>
        <w:tc>
          <w:tcPr>
            <w:tcW w:type="dxa" w:w="2016"/>
            <w:vAlign w:val="center"/>
            <w:tcMar>
              <w:top w:w="100" w:type="dxa"/>
              <w:start w:w="120" w:type="dxa"/>
              <w:bottom w:w="100" w:type="dxa"/>
              <w:end w:w="120" w:type="dxa"/>
            </w:tcMar>
          </w:tcPr>
          <w:p>
            <w:r>
              <w:rPr>
                <w:sz w:val="18"/>
              </w:rPr>
              <w:t>Governance</w:t>
            </w:r>
          </w:p>
        </w:tc>
        <w:tc>
          <w:tcPr>
            <w:tcW w:type="dxa" w:w="7920"/>
            <w:vAlign w:val="center"/>
            <w:tcMar>
              <w:top w:w="100" w:type="dxa"/>
              <w:start w:w="120" w:type="dxa"/>
              <w:bottom w:w="100" w:type="dxa"/>
              <w:end w:w="120" w:type="dxa"/>
            </w:tcMar>
          </w:tcPr>
          <w:p>
            <w:r>
              <w:rPr>
                <w:sz w:val="18"/>
              </w:rPr>
              <w:t>Specifications and conformance tests, not the first implementation or a future company, define correctness.</w:t>
            </w:r>
          </w:p>
        </w:tc>
      </w:tr>
    </w:tbl>
    <w:p/>
    <w:p>
      <w:pPr>
        <w:pStyle w:val="Heading1"/>
      </w:pPr>
      <w:r>
        <w:t>3. Ecosystem Architecture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Open Autonomous Trust Project</w:t>
              <w:br/>
              <w:t>|-- OATP      Protocol and interoperability</w:t>
              <w:br/>
              <w:t>|-- OATS      Architecture and security model</w:t>
              <w:br/>
              <w:t>|-- OATBench  Benchmark and attack corpus</w:t>
              <w:br/>
              <w:t>|-- OATF      Reference implementation</w:t>
              <w:br/>
              <w:t>`-- OAT-RFC   Open evolution process</w:t>
            </w:r>
          </w:p>
        </w:tc>
      </w:tr>
    </w:tbl>
    <w:p/>
    <w:p>
      <w:pPr>
        <w:pStyle w:val="Heading2"/>
      </w:pPr>
      <w:r>
        <w:t>3.1 Separation of concerns</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Layer</w:t>
            </w:r>
          </w:p>
        </w:tc>
        <w:tc>
          <w:tcPr>
            <w:tcW w:type="dxa" w:w="4032"/>
            <w:shd w:fill="183B56"/>
            <w:vAlign w:val="center"/>
            <w:tcMar>
              <w:top w:w="100" w:type="dxa"/>
              <w:start w:w="120" w:type="dxa"/>
              <w:bottom w:w="100" w:type="dxa"/>
              <w:end w:w="120" w:type="dxa"/>
            </w:tcMar>
          </w:tcPr>
          <w:p>
            <w:pPr>
              <w:jc w:val="center"/>
            </w:pPr>
            <w:r>
              <w:rPr>
                <w:b/>
                <w:color w:val="FFFFFF"/>
                <w:sz w:val="18"/>
              </w:rPr>
              <w:t>Defines</w:t>
            </w:r>
          </w:p>
        </w:tc>
        <w:tc>
          <w:tcPr>
            <w:tcW w:type="dxa" w:w="4320"/>
            <w:shd w:fill="183B56"/>
            <w:vAlign w:val="center"/>
            <w:tcMar>
              <w:top w:w="100" w:type="dxa"/>
              <w:start w:w="120" w:type="dxa"/>
              <w:bottom w:w="100" w:type="dxa"/>
              <w:end w:w="120" w:type="dxa"/>
            </w:tcMar>
          </w:tcPr>
          <w:p>
            <w:pPr>
              <w:jc w:val="center"/>
            </w:pPr>
            <w:r>
              <w:rPr>
                <w:b/>
                <w:color w:val="FFFFFF"/>
                <w:sz w:val="18"/>
              </w:rPr>
              <w:t>Does not define</w:t>
            </w:r>
          </w:p>
        </w:tc>
      </w:tr>
      <w:tr>
        <w:tc>
          <w:tcPr>
            <w:tcW w:type="dxa" w:w="1728"/>
            <w:vAlign w:val="center"/>
            <w:tcMar>
              <w:top w:w="100" w:type="dxa"/>
              <w:start w:w="120" w:type="dxa"/>
              <w:bottom w:w="100" w:type="dxa"/>
              <w:end w:w="120" w:type="dxa"/>
            </w:tcMar>
          </w:tcPr>
          <w:p>
            <w:r>
              <w:rPr>
                <w:sz w:val="18"/>
              </w:rPr>
              <w:t>OATP</w:t>
            </w:r>
          </w:p>
        </w:tc>
        <w:tc>
          <w:tcPr>
            <w:tcW w:type="dxa" w:w="4032"/>
            <w:vAlign w:val="center"/>
            <w:tcMar>
              <w:top w:w="100" w:type="dxa"/>
              <w:start w:w="120" w:type="dxa"/>
              <w:bottom w:w="100" w:type="dxa"/>
              <w:end w:w="120" w:type="dxa"/>
            </w:tcMar>
          </w:tcPr>
          <w:p>
            <w:r>
              <w:rPr>
                <w:sz w:val="18"/>
              </w:rPr>
              <w:t>What is exchanged and how messages are validated</w:t>
            </w:r>
          </w:p>
        </w:tc>
        <w:tc>
          <w:tcPr>
            <w:tcW w:type="dxa" w:w="4320"/>
            <w:vAlign w:val="center"/>
            <w:tcMar>
              <w:top w:w="100" w:type="dxa"/>
              <w:start w:w="120" w:type="dxa"/>
              <w:bottom w:w="100" w:type="dxa"/>
              <w:end w:w="120" w:type="dxa"/>
            </w:tcMar>
          </w:tcPr>
          <w:p>
            <w:r>
              <w:rPr>
                <w:sz w:val="18"/>
              </w:rPr>
              <w:t>How a node computes trust or chooses a response</w:t>
            </w:r>
          </w:p>
        </w:tc>
      </w:tr>
      <w:tr>
        <w:tc>
          <w:tcPr>
            <w:tcW w:type="dxa" w:w="1728"/>
            <w:vAlign w:val="center"/>
            <w:tcMar>
              <w:top w:w="100" w:type="dxa"/>
              <w:start w:w="120" w:type="dxa"/>
              <w:bottom w:w="100" w:type="dxa"/>
              <w:end w:w="120" w:type="dxa"/>
            </w:tcMar>
            <w:shd w:fill="F1F5F8"/>
          </w:tcPr>
          <w:p>
            <w:r>
              <w:rPr>
                <w:sz w:val="18"/>
              </w:rPr>
              <w:t>OATS</w:t>
            </w:r>
          </w:p>
        </w:tc>
        <w:tc>
          <w:tcPr>
            <w:tcW w:type="dxa" w:w="4032"/>
            <w:vAlign w:val="center"/>
            <w:tcMar>
              <w:top w:w="100" w:type="dxa"/>
              <w:start w:w="120" w:type="dxa"/>
              <w:bottom w:w="100" w:type="dxa"/>
              <w:end w:w="120" w:type="dxa"/>
            </w:tcMar>
            <w:shd w:fill="F1F5F8"/>
          </w:tcPr>
          <w:p>
            <w:r>
              <w:rPr>
                <w:sz w:val="18"/>
              </w:rPr>
              <w:t>What properties, threats, roles, and lifecycles implementations should model</w:t>
            </w:r>
          </w:p>
        </w:tc>
        <w:tc>
          <w:tcPr>
            <w:tcW w:type="dxa" w:w="4320"/>
            <w:vAlign w:val="center"/>
            <w:tcMar>
              <w:top w:w="100" w:type="dxa"/>
              <w:start w:w="120" w:type="dxa"/>
              <w:bottom w:w="100" w:type="dxa"/>
              <w:end w:w="120" w:type="dxa"/>
            </w:tcMar>
            <w:shd w:fill="F1F5F8"/>
          </w:tcPr>
          <w:p>
            <w:r>
              <w:rPr>
                <w:sz w:val="18"/>
              </w:rPr>
              <w:t>A mandatory transport, serialization, or implementation language</w:t>
            </w:r>
          </w:p>
        </w:tc>
      </w:tr>
      <w:tr>
        <w:tc>
          <w:tcPr>
            <w:tcW w:type="dxa" w:w="1728"/>
            <w:vAlign w:val="center"/>
            <w:tcMar>
              <w:top w:w="100" w:type="dxa"/>
              <w:start w:w="120" w:type="dxa"/>
              <w:bottom w:w="100" w:type="dxa"/>
              <w:end w:w="120" w:type="dxa"/>
            </w:tcMar>
          </w:tcPr>
          <w:p>
            <w:r>
              <w:rPr>
                <w:sz w:val="18"/>
              </w:rPr>
              <w:t>OATBench</w:t>
            </w:r>
          </w:p>
        </w:tc>
        <w:tc>
          <w:tcPr>
            <w:tcW w:type="dxa" w:w="4032"/>
            <w:vAlign w:val="center"/>
            <w:tcMar>
              <w:top w:w="100" w:type="dxa"/>
              <w:start w:w="120" w:type="dxa"/>
              <w:bottom w:w="100" w:type="dxa"/>
              <w:end w:w="120" w:type="dxa"/>
            </w:tcMar>
          </w:tcPr>
          <w:p>
            <w:r>
              <w:rPr>
                <w:sz w:val="18"/>
              </w:rPr>
              <w:t>How systems are attacked and measured</w:t>
            </w:r>
          </w:p>
        </w:tc>
        <w:tc>
          <w:tcPr>
            <w:tcW w:type="dxa" w:w="4320"/>
            <w:vAlign w:val="center"/>
            <w:tcMar>
              <w:top w:w="100" w:type="dxa"/>
              <w:start w:w="120" w:type="dxa"/>
              <w:bottom w:w="100" w:type="dxa"/>
              <w:end w:w="120" w:type="dxa"/>
            </w:tcMar>
          </w:tcPr>
          <w:p>
            <w:r>
              <w:rPr>
                <w:sz w:val="18"/>
              </w:rPr>
              <w:t>Which implementation should win or which algorithm is canonical</w:t>
            </w:r>
          </w:p>
        </w:tc>
      </w:tr>
      <w:tr>
        <w:tc>
          <w:tcPr>
            <w:tcW w:type="dxa" w:w="1728"/>
            <w:vAlign w:val="center"/>
            <w:tcMar>
              <w:top w:w="100" w:type="dxa"/>
              <w:start w:w="120" w:type="dxa"/>
              <w:bottom w:w="100" w:type="dxa"/>
              <w:end w:w="120" w:type="dxa"/>
            </w:tcMar>
            <w:shd w:fill="F1F5F8"/>
          </w:tcPr>
          <w:p>
            <w:r>
              <w:rPr>
                <w:sz w:val="18"/>
              </w:rPr>
              <w:t>OATF</w:t>
            </w:r>
          </w:p>
        </w:tc>
        <w:tc>
          <w:tcPr>
            <w:tcW w:type="dxa" w:w="4032"/>
            <w:vAlign w:val="center"/>
            <w:tcMar>
              <w:top w:w="100" w:type="dxa"/>
              <w:start w:w="120" w:type="dxa"/>
              <w:bottom w:w="100" w:type="dxa"/>
              <w:end w:w="120" w:type="dxa"/>
            </w:tcMar>
            <w:shd w:fill="F1F5F8"/>
          </w:tcPr>
          <w:p>
            <w:r>
              <w:rPr>
                <w:sz w:val="18"/>
              </w:rPr>
              <w:t>One understandable implementation and adapters</w:t>
            </w:r>
          </w:p>
        </w:tc>
        <w:tc>
          <w:tcPr>
            <w:tcW w:type="dxa" w:w="4320"/>
            <w:vAlign w:val="center"/>
            <w:tcMar>
              <w:top w:w="100" w:type="dxa"/>
              <w:start w:w="120" w:type="dxa"/>
              <w:bottom w:w="100" w:type="dxa"/>
              <w:end w:w="120" w:type="dxa"/>
            </w:tcMar>
            <w:shd w:fill="F1F5F8"/>
          </w:tcPr>
          <w:p>
            <w:r>
              <w:rPr>
                <w:sz w:val="18"/>
              </w:rPr>
              <w:t>The standard itself</w:t>
            </w:r>
          </w:p>
        </w:tc>
      </w:tr>
      <w:tr>
        <w:tc>
          <w:tcPr>
            <w:tcW w:type="dxa" w:w="1728"/>
            <w:vAlign w:val="center"/>
            <w:tcMar>
              <w:top w:w="100" w:type="dxa"/>
              <w:start w:w="120" w:type="dxa"/>
              <w:bottom w:w="100" w:type="dxa"/>
              <w:end w:w="120" w:type="dxa"/>
            </w:tcMar>
          </w:tcPr>
          <w:p>
            <w:r>
              <w:rPr>
                <w:sz w:val="18"/>
              </w:rPr>
              <w:t>OAT-RFC</w:t>
            </w:r>
          </w:p>
        </w:tc>
        <w:tc>
          <w:tcPr>
            <w:tcW w:type="dxa" w:w="4032"/>
            <w:vAlign w:val="center"/>
            <w:tcMar>
              <w:top w:w="100" w:type="dxa"/>
              <w:start w:w="120" w:type="dxa"/>
              <w:bottom w:w="100" w:type="dxa"/>
              <w:end w:w="120" w:type="dxa"/>
            </w:tcMar>
          </w:tcPr>
          <w:p>
            <w:r>
              <w:rPr>
                <w:sz w:val="18"/>
              </w:rPr>
              <w:t>How changes are proposed, validated, accepted, revised, or deprecated</w:t>
            </w:r>
          </w:p>
        </w:tc>
        <w:tc>
          <w:tcPr>
            <w:tcW w:type="dxa" w:w="4320"/>
            <w:vAlign w:val="center"/>
            <w:tcMar>
              <w:top w:w="100" w:type="dxa"/>
              <w:start w:w="120" w:type="dxa"/>
              <w:bottom w:w="100" w:type="dxa"/>
              <w:end w:w="120" w:type="dxa"/>
            </w:tcMar>
          </w:tcPr>
          <w:p>
            <w:r>
              <w:rPr>
                <w:sz w:val="18"/>
              </w:rPr>
              <w:t>Control by a single vendor</w:t>
            </w:r>
          </w:p>
        </w:tc>
      </w:tr>
    </w:tbl>
    <w:p/>
    <w:p>
      <w:pPr>
        <w:pStyle w:val="Heading2"/>
      </w:pPr>
      <w:r>
        <w:t>3.2 Logical flow</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Autonomous Actor</w:t>
              <w:br/>
              <w:t xml:space="preserve">   -&gt; Local Sensors / Observers</w:t>
              <w:br/>
              <w:t xml:space="preserve">   -&gt; Signed Observation Envelope</w:t>
              <w:br/>
              <w:t xml:space="preserve">   -&gt; Observation Transport / Bus</w:t>
              <w:br/>
              <w:t xml:space="preserve">   -&gt; Local Trust Nodes</w:t>
              <w:br/>
              <w:t xml:space="preserve">   -&gt; Local Trust Computation</w:t>
              <w:br/>
              <w:t xml:space="preserve">   -&gt; Local Response Adapter</w:t>
              <w:br/>
              <w:t xml:space="preserve">   -&gt; Continued, constrained, challenged, paused, or quarantined execution</w:t>
            </w:r>
          </w:p>
        </w:tc>
      </w:tr>
    </w:tbl>
    <w:p/>
    <w:p>
      <w:pPr>
        <w:pStyle w:val="Heading2"/>
      </w:pPr>
      <w:r>
        <w:t>3.3 Policy relationship</w:t>
      </w:r>
    </w:p>
    <w:p>
      <w:r>
        <w:t>Policy is a control input and enforcement mechanism. A policy decision may be represented as an observation or queried during local trust computation. OATP does not replace policy engines and should support adapters for existing authorization systems.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Identity -&gt; Policy/Authorization -&gt; Requested Capability</w:t>
              <w:br/>
              <w:t xml:space="preserve">                           |</w:t>
              <w:br/>
              <w:t xml:space="preserve">                           v</w:t>
              <w:br/>
              <w:t xml:space="preserve">                 Runtime Trust Evaluation</w:t>
              <w:br/>
              <w:t xml:space="preserve">                           |</w:t>
              <w:br/>
              <w:t xml:space="preserve">                           v</w:t>
              <w:br/>
              <w:t xml:space="preserve">                  Local Enforcement Action</w:t>
            </w:r>
          </w:p>
        </w:tc>
      </w:tr>
    </w:tbl>
    <w:p/>
    <w:p>
      <w:pPr>
        <w:pStyle w:val="Heading1"/>
      </w:pPr>
      <w:r>
        <w:t>4. OATS: Conceptual and Security Specification</w:t>
      </w:r>
    </w:p>
    <w:p>
      <w:pPr>
        <w:pStyle w:val="Heading2"/>
      </w:pPr>
      <w:r>
        <w:t>4.1 Core terminology</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Term</w:t>
            </w:r>
          </w:p>
        </w:tc>
        <w:tc>
          <w:tcPr>
            <w:tcW w:type="dxa" w:w="7776"/>
            <w:shd w:fill="183B56"/>
            <w:vAlign w:val="center"/>
            <w:tcMar>
              <w:top w:w="100" w:type="dxa"/>
              <w:start w:w="120" w:type="dxa"/>
              <w:bottom w:w="100" w:type="dxa"/>
              <w:end w:w="120" w:type="dxa"/>
            </w:tcMar>
          </w:tcPr>
          <w:p>
            <w:pPr>
              <w:jc w:val="center"/>
            </w:pPr>
            <w:r>
              <w:rPr>
                <w:b/>
                <w:color w:val="FFFFFF"/>
                <w:sz w:val="18"/>
              </w:rPr>
              <w:t>Definition</w:t>
            </w:r>
          </w:p>
        </w:tc>
      </w:tr>
      <w:tr>
        <w:tc>
          <w:tcPr>
            <w:tcW w:type="dxa" w:w="2160"/>
            <w:vAlign w:val="center"/>
            <w:tcMar>
              <w:top w:w="100" w:type="dxa"/>
              <w:start w:w="120" w:type="dxa"/>
              <w:bottom w:w="100" w:type="dxa"/>
              <w:end w:w="120" w:type="dxa"/>
            </w:tcMar>
          </w:tcPr>
          <w:p>
            <w:r>
              <w:rPr>
                <w:sz w:val="18"/>
              </w:rPr>
              <w:t>Autonomous actor</w:t>
            </w:r>
          </w:p>
        </w:tc>
        <w:tc>
          <w:tcPr>
            <w:tcW w:type="dxa" w:w="7776"/>
            <w:vAlign w:val="center"/>
            <w:tcMar>
              <w:top w:w="100" w:type="dxa"/>
              <w:start w:w="120" w:type="dxa"/>
              <w:bottom w:w="100" w:type="dxa"/>
              <w:end w:w="120" w:type="dxa"/>
            </w:tcMar>
          </w:tcPr>
          <w:p>
            <w:r>
              <w:rPr>
                <w:sz w:val="18"/>
              </w:rPr>
              <w:t>An agent or autonomous system capable of initiating actions, using tools, retaining state, or delegating work.</w:t>
            </w:r>
          </w:p>
        </w:tc>
      </w:tr>
      <w:tr>
        <w:tc>
          <w:tcPr>
            <w:tcW w:type="dxa" w:w="2160"/>
            <w:vAlign w:val="center"/>
            <w:tcMar>
              <w:top w:w="100" w:type="dxa"/>
              <w:start w:w="120" w:type="dxa"/>
              <w:bottom w:w="100" w:type="dxa"/>
              <w:end w:w="120" w:type="dxa"/>
            </w:tcMar>
            <w:shd w:fill="F1F5F8"/>
          </w:tcPr>
          <w:p>
            <w:r>
              <w:rPr>
                <w:sz w:val="18"/>
              </w:rPr>
              <w:t>Observer</w:t>
            </w:r>
          </w:p>
        </w:tc>
        <w:tc>
          <w:tcPr>
            <w:tcW w:type="dxa" w:w="7776"/>
            <w:vAlign w:val="center"/>
            <w:tcMar>
              <w:top w:w="100" w:type="dxa"/>
              <w:start w:w="120" w:type="dxa"/>
              <w:bottom w:w="100" w:type="dxa"/>
              <w:end w:w="120" w:type="dxa"/>
            </w:tcMar>
            <w:shd w:fill="F1F5F8"/>
          </w:tcPr>
          <w:p>
            <w:r>
              <w:rPr>
                <w:sz w:val="18"/>
              </w:rPr>
              <w:t>A component that directly witnesses behavior within a declared scope.</w:t>
            </w:r>
          </w:p>
        </w:tc>
      </w:tr>
      <w:tr>
        <w:tc>
          <w:tcPr>
            <w:tcW w:type="dxa" w:w="2160"/>
            <w:vAlign w:val="center"/>
            <w:tcMar>
              <w:top w:w="100" w:type="dxa"/>
              <w:start w:w="120" w:type="dxa"/>
              <w:bottom w:w="100" w:type="dxa"/>
              <w:end w:w="120" w:type="dxa"/>
            </w:tcMar>
          </w:tcPr>
          <w:p>
            <w:r>
              <w:rPr>
                <w:sz w:val="18"/>
              </w:rPr>
              <w:t>Subject</w:t>
            </w:r>
          </w:p>
        </w:tc>
        <w:tc>
          <w:tcPr>
            <w:tcW w:type="dxa" w:w="7776"/>
            <w:vAlign w:val="center"/>
            <w:tcMar>
              <w:top w:w="100" w:type="dxa"/>
              <w:start w:w="120" w:type="dxa"/>
              <w:bottom w:w="100" w:type="dxa"/>
              <w:end w:w="120" w:type="dxa"/>
            </w:tcMar>
          </w:tcPr>
          <w:p>
            <w:r>
              <w:rPr>
                <w:sz w:val="18"/>
              </w:rPr>
              <w:t>The actor, memory object, tool, credential, workflow, observer, or resource being observed.</w:t>
            </w:r>
          </w:p>
        </w:tc>
      </w:tr>
      <w:tr>
        <w:tc>
          <w:tcPr>
            <w:tcW w:type="dxa" w:w="2160"/>
            <w:vAlign w:val="center"/>
            <w:tcMar>
              <w:top w:w="100" w:type="dxa"/>
              <w:start w:w="120" w:type="dxa"/>
              <w:bottom w:w="100" w:type="dxa"/>
              <w:end w:w="120" w:type="dxa"/>
            </w:tcMar>
            <w:shd w:fill="F1F5F8"/>
          </w:tcPr>
          <w:p>
            <w:r>
              <w:rPr>
                <w:sz w:val="18"/>
              </w:rPr>
              <w:t>Observation</w:t>
            </w:r>
          </w:p>
        </w:tc>
        <w:tc>
          <w:tcPr>
            <w:tcW w:type="dxa" w:w="7776"/>
            <w:vAlign w:val="center"/>
            <w:tcMar>
              <w:top w:w="100" w:type="dxa"/>
              <w:start w:w="120" w:type="dxa"/>
              <w:bottom w:w="100" w:type="dxa"/>
              <w:end w:w="120" w:type="dxa"/>
            </w:tcMar>
            <w:shd w:fill="F1F5F8"/>
          </w:tcPr>
          <w:p>
            <w:r>
              <w:rPr>
                <w:sz w:val="18"/>
              </w:rPr>
              <w:t>An immutable, signed statement of directly witnessed behavior or state.</w:t>
            </w:r>
          </w:p>
        </w:tc>
      </w:tr>
      <w:tr>
        <w:tc>
          <w:tcPr>
            <w:tcW w:type="dxa" w:w="2160"/>
            <w:vAlign w:val="center"/>
            <w:tcMar>
              <w:top w:w="100" w:type="dxa"/>
              <w:start w:w="120" w:type="dxa"/>
              <w:bottom w:w="100" w:type="dxa"/>
              <w:end w:w="120" w:type="dxa"/>
            </w:tcMar>
          </w:tcPr>
          <w:p>
            <w:r>
              <w:rPr>
                <w:sz w:val="18"/>
              </w:rPr>
              <w:t>Assertion</w:t>
            </w:r>
          </w:p>
        </w:tc>
        <w:tc>
          <w:tcPr>
            <w:tcW w:type="dxa" w:w="7776"/>
            <w:vAlign w:val="center"/>
            <w:tcMar>
              <w:top w:w="100" w:type="dxa"/>
              <w:start w:w="120" w:type="dxa"/>
              <w:bottom w:w="100" w:type="dxa"/>
              <w:end w:w="120" w:type="dxa"/>
            </w:tcMar>
          </w:tcPr>
          <w:p>
            <w:r>
              <w:rPr>
                <w:sz w:val="18"/>
              </w:rPr>
              <w:t>A derived interpretation based on one or more observations. It is less authoritative than direct evidence.</w:t>
            </w:r>
          </w:p>
        </w:tc>
      </w:tr>
      <w:tr>
        <w:tc>
          <w:tcPr>
            <w:tcW w:type="dxa" w:w="2160"/>
            <w:vAlign w:val="center"/>
            <w:tcMar>
              <w:top w:w="100" w:type="dxa"/>
              <w:start w:w="120" w:type="dxa"/>
              <w:bottom w:w="100" w:type="dxa"/>
              <w:end w:w="120" w:type="dxa"/>
            </w:tcMar>
            <w:shd w:fill="F1F5F8"/>
          </w:tcPr>
          <w:p>
            <w:r>
              <w:rPr>
                <w:sz w:val="18"/>
              </w:rPr>
              <w:t>Decision</w:t>
            </w:r>
          </w:p>
        </w:tc>
        <w:tc>
          <w:tcPr>
            <w:tcW w:type="dxa" w:w="7776"/>
            <w:vAlign w:val="center"/>
            <w:tcMar>
              <w:top w:w="100" w:type="dxa"/>
              <w:start w:w="120" w:type="dxa"/>
              <w:bottom w:w="100" w:type="dxa"/>
              <w:end w:w="120" w:type="dxa"/>
            </w:tcMar>
            <w:shd w:fill="F1F5F8"/>
          </w:tcPr>
          <w:p>
            <w:r>
              <w:rPr>
                <w:sz w:val="18"/>
              </w:rPr>
              <w:t>A local determination that selects a response. Decisions do not propagate as global truth.</w:t>
            </w:r>
          </w:p>
        </w:tc>
      </w:tr>
      <w:tr>
        <w:tc>
          <w:tcPr>
            <w:tcW w:type="dxa" w:w="2160"/>
            <w:vAlign w:val="center"/>
            <w:tcMar>
              <w:top w:w="100" w:type="dxa"/>
              <w:start w:w="120" w:type="dxa"/>
              <w:bottom w:w="100" w:type="dxa"/>
              <w:end w:w="120" w:type="dxa"/>
            </w:tcMar>
          </w:tcPr>
          <w:p>
            <w:r>
              <w:rPr>
                <w:sz w:val="18"/>
              </w:rPr>
              <w:t>Evidence</w:t>
            </w:r>
          </w:p>
        </w:tc>
        <w:tc>
          <w:tcPr>
            <w:tcW w:type="dxa" w:w="7776"/>
            <w:vAlign w:val="center"/>
            <w:tcMar>
              <w:top w:w="100" w:type="dxa"/>
              <w:start w:w="120" w:type="dxa"/>
              <w:bottom w:w="100" w:type="dxa"/>
              <w:end w:w="120" w:type="dxa"/>
            </w:tcMar>
          </w:tcPr>
          <w:p>
            <w:r>
              <w:rPr>
                <w:sz w:val="18"/>
              </w:rPr>
              <w:t>Data or a verifiable reference supporting an observation.</w:t>
            </w:r>
          </w:p>
        </w:tc>
      </w:tr>
      <w:tr>
        <w:tc>
          <w:tcPr>
            <w:tcW w:type="dxa" w:w="2160"/>
            <w:vAlign w:val="center"/>
            <w:tcMar>
              <w:top w:w="100" w:type="dxa"/>
              <w:start w:w="120" w:type="dxa"/>
              <w:bottom w:w="100" w:type="dxa"/>
              <w:end w:w="120" w:type="dxa"/>
            </w:tcMar>
            <w:shd w:fill="F1F5F8"/>
          </w:tcPr>
          <w:p>
            <w:r>
              <w:rPr>
                <w:sz w:val="18"/>
              </w:rPr>
              <w:t>Trust node</w:t>
            </w:r>
          </w:p>
        </w:tc>
        <w:tc>
          <w:tcPr>
            <w:tcW w:type="dxa" w:w="7776"/>
            <w:vAlign w:val="center"/>
            <w:tcMar>
              <w:top w:w="100" w:type="dxa"/>
              <w:start w:w="120" w:type="dxa"/>
              <w:bottom w:w="100" w:type="dxa"/>
              <w:end w:w="120" w:type="dxa"/>
            </w:tcMar>
            <w:shd w:fill="F1F5F8"/>
          </w:tcPr>
          <w:p>
            <w:r>
              <w:rPr>
                <w:sz w:val="18"/>
              </w:rPr>
              <w:t>A participant that validates observations and computes local trust state.</w:t>
            </w:r>
          </w:p>
        </w:tc>
      </w:tr>
      <w:tr>
        <w:tc>
          <w:tcPr>
            <w:tcW w:type="dxa" w:w="2160"/>
            <w:vAlign w:val="center"/>
            <w:tcMar>
              <w:top w:w="100" w:type="dxa"/>
              <w:start w:w="120" w:type="dxa"/>
              <w:bottom w:w="100" w:type="dxa"/>
              <w:end w:w="120" w:type="dxa"/>
            </w:tcMar>
          </w:tcPr>
          <w:p>
            <w:r>
              <w:rPr>
                <w:sz w:val="18"/>
              </w:rPr>
              <w:t>Trust domain</w:t>
            </w:r>
          </w:p>
        </w:tc>
        <w:tc>
          <w:tcPr>
            <w:tcW w:type="dxa" w:w="7776"/>
            <w:vAlign w:val="center"/>
            <w:tcMar>
              <w:top w:w="100" w:type="dxa"/>
              <w:start w:w="120" w:type="dxa"/>
              <w:bottom w:w="100" w:type="dxa"/>
              <w:end w:w="120" w:type="dxa"/>
            </w:tcMar>
          </w:tcPr>
          <w:p>
            <w:r>
              <w:rPr>
                <w:sz w:val="18"/>
              </w:rPr>
              <w:t>An independently administered identity or control boundary used to reason about observer diversity and Sybil resistance.</w:t>
            </w:r>
          </w:p>
        </w:tc>
      </w:tr>
      <w:tr>
        <w:tc>
          <w:tcPr>
            <w:tcW w:type="dxa" w:w="2160"/>
            <w:vAlign w:val="center"/>
            <w:tcMar>
              <w:top w:w="100" w:type="dxa"/>
              <w:start w:w="120" w:type="dxa"/>
              <w:bottom w:w="100" w:type="dxa"/>
              <w:end w:w="120" w:type="dxa"/>
            </w:tcMar>
            <w:shd w:fill="F1F5F8"/>
          </w:tcPr>
          <w:p>
            <w:r>
              <w:rPr>
                <w:sz w:val="18"/>
              </w:rPr>
              <w:t>Response adapter</w:t>
            </w:r>
          </w:p>
        </w:tc>
        <w:tc>
          <w:tcPr>
            <w:tcW w:type="dxa" w:w="7776"/>
            <w:vAlign w:val="center"/>
            <w:tcMar>
              <w:top w:w="100" w:type="dxa"/>
              <w:start w:w="120" w:type="dxa"/>
              <w:bottom w:w="100" w:type="dxa"/>
              <w:end w:w="120" w:type="dxa"/>
            </w:tcMar>
            <w:shd w:fill="F1F5F8"/>
          </w:tcPr>
          <w:p>
            <w:r>
              <w:rPr>
                <w:sz w:val="18"/>
              </w:rPr>
              <w:t>A bounded local enforcement integration, such as reducing a capability or isolating memory.</w:t>
            </w:r>
          </w:p>
        </w:tc>
      </w:tr>
    </w:tbl>
    <w:p/>
    <w:p>
      <w:pPr>
        <w:pStyle w:val="Heading2"/>
      </w:pPr>
      <w:r>
        <w:t>4.2 Architectural principles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Principle</w:t>
            </w:r>
          </w:p>
        </w:tc>
      </w:tr>
      <w:tr>
        <w:tc>
          <w:tcPr>
            <w:tcW w:type="dxa" w:w="1152"/>
            <w:vAlign w:val="center"/>
            <w:tcMar>
              <w:top w:w="100" w:type="dxa"/>
              <w:start w:w="120" w:type="dxa"/>
              <w:bottom w:w="100" w:type="dxa"/>
              <w:end w:w="120" w:type="dxa"/>
            </w:tcMar>
          </w:tcPr>
          <w:p>
            <w:r>
              <w:rPr>
                <w:sz w:val="18"/>
              </w:rPr>
              <w:t>P-001</w:t>
            </w:r>
          </w:p>
        </w:tc>
        <w:tc>
          <w:tcPr>
            <w:tcW w:type="dxa" w:w="8784"/>
            <w:vAlign w:val="center"/>
            <w:tcMar>
              <w:top w:w="100" w:type="dxa"/>
              <w:start w:w="120" w:type="dxa"/>
              <w:bottom w:w="100" w:type="dxa"/>
              <w:end w:w="120" w:type="dxa"/>
            </w:tcMar>
          </w:tcPr>
          <w:p>
            <w:r>
              <w:rPr>
                <w:sz w:val="18"/>
              </w:rPr>
              <w:t>No participant owns global trust.</w:t>
            </w:r>
          </w:p>
        </w:tc>
      </w:tr>
      <w:tr>
        <w:tc>
          <w:tcPr>
            <w:tcW w:type="dxa" w:w="1152"/>
            <w:vAlign w:val="center"/>
            <w:tcMar>
              <w:top w:w="100" w:type="dxa"/>
              <w:start w:w="120" w:type="dxa"/>
              <w:bottom w:w="100" w:type="dxa"/>
              <w:end w:w="120" w:type="dxa"/>
            </w:tcMar>
            <w:shd w:fill="F1F5F8"/>
          </w:tcPr>
          <w:p>
            <w:r>
              <w:rPr>
                <w:sz w:val="18"/>
              </w:rPr>
              <w:t>P-002</w:t>
            </w:r>
          </w:p>
        </w:tc>
        <w:tc>
          <w:tcPr>
            <w:tcW w:type="dxa" w:w="8784"/>
            <w:vAlign w:val="center"/>
            <w:tcMar>
              <w:top w:w="100" w:type="dxa"/>
              <w:start w:w="120" w:type="dxa"/>
              <w:bottom w:w="100" w:type="dxa"/>
              <w:end w:w="120" w:type="dxa"/>
            </w:tcMar>
            <w:shd w:fill="F1F5F8"/>
          </w:tcPr>
          <w:p>
            <w:r>
              <w:rPr>
                <w:sz w:val="18"/>
              </w:rPr>
              <w:t>Nodes publish observations, not authoritative verdicts.</w:t>
            </w:r>
          </w:p>
        </w:tc>
      </w:tr>
      <w:tr>
        <w:tc>
          <w:tcPr>
            <w:tcW w:type="dxa" w:w="1152"/>
            <w:vAlign w:val="center"/>
            <w:tcMar>
              <w:top w:w="100" w:type="dxa"/>
              <w:start w:w="120" w:type="dxa"/>
              <w:bottom w:w="100" w:type="dxa"/>
              <w:end w:w="120" w:type="dxa"/>
            </w:tcMar>
          </w:tcPr>
          <w:p>
            <w:r>
              <w:rPr>
                <w:sz w:val="18"/>
              </w:rPr>
              <w:t>P-003</w:t>
            </w:r>
          </w:p>
        </w:tc>
        <w:tc>
          <w:tcPr>
            <w:tcW w:type="dxa" w:w="8784"/>
            <w:vAlign w:val="center"/>
            <w:tcMar>
              <w:top w:w="100" w:type="dxa"/>
              <w:start w:w="120" w:type="dxa"/>
              <w:bottom w:w="100" w:type="dxa"/>
              <w:end w:w="120" w:type="dxa"/>
            </w:tcMar>
          </w:tcPr>
          <w:p>
            <w:r>
              <w:rPr>
                <w:sz w:val="18"/>
              </w:rPr>
              <w:t>Trust is computed locally and continuously.</w:t>
            </w:r>
          </w:p>
        </w:tc>
      </w:tr>
      <w:tr>
        <w:tc>
          <w:tcPr>
            <w:tcW w:type="dxa" w:w="1152"/>
            <w:vAlign w:val="center"/>
            <w:tcMar>
              <w:top w:w="100" w:type="dxa"/>
              <w:start w:w="120" w:type="dxa"/>
              <w:bottom w:w="100" w:type="dxa"/>
              <w:end w:w="120" w:type="dxa"/>
            </w:tcMar>
            <w:shd w:fill="F1F5F8"/>
          </w:tcPr>
          <w:p>
            <w:r>
              <w:rPr>
                <w:sz w:val="18"/>
              </w:rPr>
              <w:t>P-004</w:t>
            </w:r>
          </w:p>
        </w:tc>
        <w:tc>
          <w:tcPr>
            <w:tcW w:type="dxa" w:w="8784"/>
            <w:vAlign w:val="center"/>
            <w:tcMar>
              <w:top w:w="100" w:type="dxa"/>
              <w:start w:w="120" w:type="dxa"/>
              <w:bottom w:w="100" w:type="dxa"/>
              <w:end w:w="120" w:type="dxa"/>
            </w:tcMar>
            <w:shd w:fill="F1F5F8"/>
          </w:tcPr>
          <w:p>
            <w:r>
              <w:rPr>
                <w:sz w:val="18"/>
              </w:rPr>
              <w:t>Observations are immutable, signed, scoped, time-bounded, and evidence-linked.</w:t>
            </w:r>
          </w:p>
        </w:tc>
      </w:tr>
      <w:tr>
        <w:tc>
          <w:tcPr>
            <w:tcW w:type="dxa" w:w="1152"/>
            <w:vAlign w:val="center"/>
            <w:tcMar>
              <w:top w:w="100" w:type="dxa"/>
              <w:start w:w="120" w:type="dxa"/>
              <w:bottom w:w="100" w:type="dxa"/>
              <w:end w:w="120" w:type="dxa"/>
            </w:tcMar>
          </w:tcPr>
          <w:p>
            <w:r>
              <w:rPr>
                <w:sz w:val="18"/>
              </w:rPr>
              <w:t>P-005</w:t>
            </w:r>
          </w:p>
        </w:tc>
        <w:tc>
          <w:tcPr>
            <w:tcW w:type="dxa" w:w="8784"/>
            <w:vAlign w:val="center"/>
            <w:tcMar>
              <w:top w:w="100" w:type="dxa"/>
              <w:start w:w="120" w:type="dxa"/>
              <w:bottom w:w="100" w:type="dxa"/>
              <w:end w:w="120" w:type="dxa"/>
            </w:tcMar>
          </w:tcPr>
          <w:p>
            <w:r>
              <w:rPr>
                <w:sz w:val="18"/>
              </w:rPr>
              <w:t>Containment is local and bounded whenever possible.</w:t>
            </w:r>
          </w:p>
        </w:tc>
      </w:tr>
      <w:tr>
        <w:tc>
          <w:tcPr>
            <w:tcW w:type="dxa" w:w="1152"/>
            <w:vAlign w:val="center"/>
            <w:tcMar>
              <w:top w:w="100" w:type="dxa"/>
              <w:start w:w="120" w:type="dxa"/>
              <w:bottom w:w="100" w:type="dxa"/>
              <w:end w:w="120" w:type="dxa"/>
            </w:tcMar>
            <w:shd w:fill="F1F5F8"/>
          </w:tcPr>
          <w:p>
            <w:r>
              <w:rPr>
                <w:sz w:val="18"/>
              </w:rPr>
              <w:t>P-006</w:t>
            </w:r>
          </w:p>
        </w:tc>
        <w:tc>
          <w:tcPr>
            <w:tcW w:type="dxa" w:w="8784"/>
            <w:vAlign w:val="center"/>
            <w:tcMar>
              <w:top w:w="100" w:type="dxa"/>
              <w:start w:w="120" w:type="dxa"/>
              <w:bottom w:w="100" w:type="dxa"/>
              <w:end w:w="120" w:type="dxa"/>
            </w:tcMar>
            <w:shd w:fill="F1F5F8"/>
          </w:tcPr>
          <w:p>
            <w:r>
              <w:rPr>
                <w:sz w:val="18"/>
              </w:rPr>
              <w:t>High-impact actions require stronger evidence and observer diversity.</w:t>
            </w:r>
          </w:p>
        </w:tc>
      </w:tr>
      <w:tr>
        <w:tc>
          <w:tcPr>
            <w:tcW w:type="dxa" w:w="1152"/>
            <w:vAlign w:val="center"/>
            <w:tcMar>
              <w:top w:w="100" w:type="dxa"/>
              <w:start w:w="120" w:type="dxa"/>
              <w:bottom w:w="100" w:type="dxa"/>
              <w:end w:w="120" w:type="dxa"/>
            </w:tcMar>
          </w:tcPr>
          <w:p>
            <w:r>
              <w:rPr>
                <w:sz w:val="18"/>
              </w:rPr>
              <w:t>P-007</w:t>
            </w:r>
          </w:p>
        </w:tc>
        <w:tc>
          <w:tcPr>
            <w:tcW w:type="dxa" w:w="8784"/>
            <w:vAlign w:val="center"/>
            <w:tcMar>
              <w:top w:w="100" w:type="dxa"/>
              <w:start w:w="120" w:type="dxa"/>
              <w:bottom w:w="100" w:type="dxa"/>
              <w:end w:w="120" w:type="dxa"/>
            </w:tcMar>
          </w:tcPr>
          <w:p>
            <w:r>
              <w:rPr>
                <w:sz w:val="18"/>
              </w:rPr>
              <w:t>Protocol participants, sensors, and identity holders may be compromised.</w:t>
            </w:r>
          </w:p>
        </w:tc>
      </w:tr>
      <w:tr>
        <w:tc>
          <w:tcPr>
            <w:tcW w:type="dxa" w:w="1152"/>
            <w:vAlign w:val="center"/>
            <w:tcMar>
              <w:top w:w="100" w:type="dxa"/>
              <w:start w:w="120" w:type="dxa"/>
              <w:bottom w:w="100" w:type="dxa"/>
              <w:end w:w="120" w:type="dxa"/>
            </w:tcMar>
            <w:shd w:fill="F1F5F8"/>
          </w:tcPr>
          <w:p>
            <w:r>
              <w:rPr>
                <w:sz w:val="18"/>
              </w:rPr>
              <w:t>P-008</w:t>
            </w:r>
          </w:p>
        </w:tc>
        <w:tc>
          <w:tcPr>
            <w:tcW w:type="dxa" w:w="8784"/>
            <w:vAlign w:val="center"/>
            <w:tcMar>
              <w:top w:w="100" w:type="dxa"/>
              <w:start w:w="120" w:type="dxa"/>
              <w:bottom w:w="100" w:type="dxa"/>
              <w:end w:w="120" w:type="dxa"/>
            </w:tcMar>
            <w:shd w:fill="F1F5F8"/>
          </w:tcPr>
          <w:p>
            <w:r>
              <w:rPr>
                <w:sz w:val="18"/>
              </w:rPr>
              <w:t>Silence means loss of visibility, not health.</w:t>
            </w:r>
          </w:p>
        </w:tc>
      </w:tr>
      <w:tr>
        <w:tc>
          <w:tcPr>
            <w:tcW w:type="dxa" w:w="1152"/>
            <w:vAlign w:val="center"/>
            <w:tcMar>
              <w:top w:w="100" w:type="dxa"/>
              <w:start w:w="120" w:type="dxa"/>
              <w:bottom w:w="100" w:type="dxa"/>
              <w:end w:w="120" w:type="dxa"/>
            </w:tcMar>
          </w:tcPr>
          <w:p>
            <w:r>
              <w:rPr>
                <w:sz w:val="18"/>
              </w:rPr>
              <w:t>P-009</w:t>
            </w:r>
          </w:p>
        </w:tc>
        <w:tc>
          <w:tcPr>
            <w:tcW w:type="dxa" w:w="8784"/>
            <w:vAlign w:val="center"/>
            <w:tcMar>
              <w:top w:w="100" w:type="dxa"/>
              <w:start w:w="120" w:type="dxa"/>
              <w:bottom w:w="100" w:type="dxa"/>
              <w:end w:w="120" w:type="dxa"/>
            </w:tcMar>
          </w:tcPr>
          <w:p>
            <w:r>
              <w:rPr>
                <w:sz w:val="18"/>
              </w:rPr>
              <w:t>Negative evidence may reduce trust quickly; recovery requires fresh positive evidence.</w:t>
            </w:r>
          </w:p>
        </w:tc>
      </w:tr>
      <w:tr>
        <w:tc>
          <w:tcPr>
            <w:tcW w:type="dxa" w:w="1152"/>
            <w:vAlign w:val="center"/>
            <w:tcMar>
              <w:top w:w="100" w:type="dxa"/>
              <w:start w:w="120" w:type="dxa"/>
              <w:bottom w:w="100" w:type="dxa"/>
              <w:end w:w="120" w:type="dxa"/>
            </w:tcMar>
            <w:shd w:fill="F1F5F8"/>
          </w:tcPr>
          <w:p>
            <w:r>
              <w:rPr>
                <w:sz w:val="18"/>
              </w:rPr>
              <w:t>P-010</w:t>
            </w:r>
          </w:p>
        </w:tc>
        <w:tc>
          <w:tcPr>
            <w:tcW w:type="dxa" w:w="8784"/>
            <w:vAlign w:val="center"/>
            <w:tcMar>
              <w:top w:w="100" w:type="dxa"/>
              <w:start w:w="120" w:type="dxa"/>
              <w:bottom w:w="100" w:type="dxa"/>
              <w:end w:w="120" w:type="dxa"/>
            </w:tcMar>
            <w:shd w:fill="F1F5F8"/>
          </w:tcPr>
          <w:p>
            <w:r>
              <w:rPr>
                <w:sz w:val="18"/>
              </w:rPr>
              <w:t>Responses should be reversible unless irreversible action is explicitly justified by local policy.</w:t>
            </w:r>
          </w:p>
        </w:tc>
      </w:tr>
    </w:tbl>
    <w:p/>
    <w:p>
      <w:pPr>
        <w:pStyle w:val="Heading2"/>
      </w:pPr>
      <w:r>
        <w:t>4.3 Protocol invariants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Invariant</w:t>
            </w:r>
          </w:p>
        </w:tc>
      </w:tr>
      <w:tr>
        <w:tc>
          <w:tcPr>
            <w:tcW w:type="dxa" w:w="1152"/>
            <w:vAlign w:val="center"/>
            <w:tcMar>
              <w:top w:w="100" w:type="dxa"/>
              <w:start w:w="120" w:type="dxa"/>
              <w:bottom w:w="100" w:type="dxa"/>
              <w:end w:w="120" w:type="dxa"/>
            </w:tcMar>
          </w:tcPr>
          <w:p>
            <w:r>
              <w:rPr>
                <w:sz w:val="18"/>
              </w:rPr>
              <w:t>INV-001</w:t>
            </w:r>
          </w:p>
        </w:tc>
        <w:tc>
          <w:tcPr>
            <w:tcW w:type="dxa" w:w="8784"/>
            <w:vAlign w:val="center"/>
            <w:tcMar>
              <w:top w:w="100" w:type="dxa"/>
              <w:start w:w="120" w:type="dxa"/>
              <w:bottom w:w="100" w:type="dxa"/>
              <w:end w:w="120" w:type="dxa"/>
            </w:tcMar>
          </w:tcPr>
          <w:p>
            <w:r>
              <w:rPr>
                <w:sz w:val="18"/>
              </w:rPr>
              <w:t>Trust decisions are never transmitted as binding global state.</w:t>
            </w:r>
          </w:p>
        </w:tc>
      </w:tr>
      <w:tr>
        <w:tc>
          <w:tcPr>
            <w:tcW w:type="dxa" w:w="1152"/>
            <w:vAlign w:val="center"/>
            <w:tcMar>
              <w:top w:w="100" w:type="dxa"/>
              <w:start w:w="120" w:type="dxa"/>
              <w:bottom w:w="100" w:type="dxa"/>
              <w:end w:w="120" w:type="dxa"/>
            </w:tcMar>
            <w:shd w:fill="F1F5F8"/>
          </w:tcPr>
          <w:p>
            <w:r>
              <w:rPr>
                <w:sz w:val="18"/>
              </w:rPr>
              <w:t>INV-002</w:t>
            </w:r>
          </w:p>
        </w:tc>
        <w:tc>
          <w:tcPr>
            <w:tcW w:type="dxa" w:w="8784"/>
            <w:vAlign w:val="center"/>
            <w:tcMar>
              <w:top w:w="100" w:type="dxa"/>
              <w:start w:w="120" w:type="dxa"/>
              <w:bottom w:w="100" w:type="dxa"/>
              <w:end w:w="120" w:type="dxa"/>
            </w:tcMar>
            <w:shd w:fill="F1F5F8"/>
          </w:tcPr>
          <w:p>
            <w:r>
              <w:rPr>
                <w:sz w:val="18"/>
              </w:rPr>
              <w:t>Every accepted observation has a verifiable origin and valid signature.</w:t>
            </w:r>
          </w:p>
        </w:tc>
      </w:tr>
      <w:tr>
        <w:tc>
          <w:tcPr>
            <w:tcW w:type="dxa" w:w="1152"/>
            <w:vAlign w:val="center"/>
            <w:tcMar>
              <w:top w:w="100" w:type="dxa"/>
              <w:start w:w="120" w:type="dxa"/>
              <w:bottom w:w="100" w:type="dxa"/>
              <w:end w:w="120" w:type="dxa"/>
            </w:tcMar>
          </w:tcPr>
          <w:p>
            <w:r>
              <w:rPr>
                <w:sz w:val="18"/>
              </w:rPr>
              <w:t>INV-003</w:t>
            </w:r>
          </w:p>
        </w:tc>
        <w:tc>
          <w:tcPr>
            <w:tcW w:type="dxa" w:w="8784"/>
            <w:vAlign w:val="center"/>
            <w:tcMar>
              <w:top w:w="100" w:type="dxa"/>
              <w:start w:w="120" w:type="dxa"/>
              <w:bottom w:w="100" w:type="dxa"/>
              <w:end w:w="120" w:type="dxa"/>
            </w:tcMar>
          </w:tcPr>
          <w:p>
            <w:r>
              <w:rPr>
                <w:sz w:val="18"/>
              </w:rPr>
              <w:t>Every observation has a validity interval or explicit expiration semantics.</w:t>
            </w:r>
          </w:p>
        </w:tc>
      </w:tr>
      <w:tr>
        <w:tc>
          <w:tcPr>
            <w:tcW w:type="dxa" w:w="1152"/>
            <w:vAlign w:val="center"/>
            <w:tcMar>
              <w:top w:w="100" w:type="dxa"/>
              <w:start w:w="120" w:type="dxa"/>
              <w:bottom w:w="100" w:type="dxa"/>
              <w:end w:w="120" w:type="dxa"/>
            </w:tcMar>
            <w:shd w:fill="F1F5F8"/>
          </w:tcPr>
          <w:p>
            <w:r>
              <w:rPr>
                <w:sz w:val="18"/>
              </w:rPr>
              <w:t>INV-004</w:t>
            </w:r>
          </w:p>
        </w:tc>
        <w:tc>
          <w:tcPr>
            <w:tcW w:type="dxa" w:w="8784"/>
            <w:vAlign w:val="center"/>
            <w:tcMar>
              <w:top w:w="100" w:type="dxa"/>
              <w:start w:w="120" w:type="dxa"/>
              <w:bottom w:w="100" w:type="dxa"/>
              <w:end w:w="120" w:type="dxa"/>
            </w:tcMar>
            <w:shd w:fill="F1F5F8"/>
          </w:tcPr>
          <w:p>
            <w:r>
              <w:rPr>
                <w:sz w:val="18"/>
              </w:rPr>
              <w:t>Observers may report only within an authenticated, declared scope.</w:t>
            </w:r>
          </w:p>
        </w:tc>
      </w:tr>
      <w:tr>
        <w:tc>
          <w:tcPr>
            <w:tcW w:type="dxa" w:w="1152"/>
            <w:vAlign w:val="center"/>
            <w:tcMar>
              <w:top w:w="100" w:type="dxa"/>
              <w:start w:w="120" w:type="dxa"/>
              <w:bottom w:w="100" w:type="dxa"/>
              <w:end w:w="120" w:type="dxa"/>
            </w:tcMar>
          </w:tcPr>
          <w:p>
            <w:r>
              <w:rPr>
                <w:sz w:val="18"/>
              </w:rPr>
              <w:t>INV-005</w:t>
            </w:r>
          </w:p>
        </w:tc>
        <w:tc>
          <w:tcPr>
            <w:tcW w:type="dxa" w:w="8784"/>
            <w:vAlign w:val="center"/>
            <w:tcMar>
              <w:top w:w="100" w:type="dxa"/>
              <w:start w:w="120" w:type="dxa"/>
              <w:bottom w:w="100" w:type="dxa"/>
              <w:end w:w="120" w:type="dxa"/>
            </w:tcMar>
          </w:tcPr>
          <w:p>
            <w:r>
              <w:rPr>
                <w:sz w:val="18"/>
              </w:rPr>
              <w:t>A replayed, duplicated, reordered, or stale message cannot overwrite a newer accepted state.</w:t>
            </w:r>
          </w:p>
        </w:tc>
      </w:tr>
      <w:tr>
        <w:tc>
          <w:tcPr>
            <w:tcW w:type="dxa" w:w="1152"/>
            <w:vAlign w:val="center"/>
            <w:tcMar>
              <w:top w:w="100" w:type="dxa"/>
              <w:start w:w="120" w:type="dxa"/>
              <w:bottom w:w="100" w:type="dxa"/>
              <w:end w:w="120" w:type="dxa"/>
            </w:tcMar>
            <w:shd w:fill="F1F5F8"/>
          </w:tcPr>
          <w:p>
            <w:r>
              <w:rPr>
                <w:sz w:val="18"/>
              </w:rPr>
              <w:t>INV-006</w:t>
            </w:r>
          </w:p>
        </w:tc>
        <w:tc>
          <w:tcPr>
            <w:tcW w:type="dxa" w:w="8784"/>
            <w:vAlign w:val="center"/>
            <w:tcMar>
              <w:top w:w="100" w:type="dxa"/>
              <w:start w:w="120" w:type="dxa"/>
              <w:bottom w:w="100" w:type="dxa"/>
              <w:end w:w="120" w:type="dxa"/>
            </w:tcMar>
            <w:shd w:fill="F1F5F8"/>
          </w:tcPr>
          <w:p>
            <w:r>
              <w:rPr>
                <w:sz w:val="18"/>
              </w:rPr>
              <w:t>Nodes continue bounded local operation during partitions.</w:t>
            </w:r>
          </w:p>
        </w:tc>
      </w:tr>
      <w:tr>
        <w:tc>
          <w:tcPr>
            <w:tcW w:type="dxa" w:w="1152"/>
            <w:vAlign w:val="center"/>
            <w:tcMar>
              <w:top w:w="100" w:type="dxa"/>
              <w:start w:w="120" w:type="dxa"/>
              <w:bottom w:w="100" w:type="dxa"/>
              <w:end w:w="120" w:type="dxa"/>
            </w:tcMar>
          </w:tcPr>
          <w:p>
            <w:r>
              <w:rPr>
                <w:sz w:val="18"/>
              </w:rPr>
              <w:t>INV-007</w:t>
            </w:r>
          </w:p>
        </w:tc>
        <w:tc>
          <w:tcPr>
            <w:tcW w:type="dxa" w:w="8784"/>
            <w:vAlign w:val="center"/>
            <w:tcMar>
              <w:top w:w="100" w:type="dxa"/>
              <w:start w:w="120" w:type="dxa"/>
              <w:bottom w:w="100" w:type="dxa"/>
              <w:end w:w="120" w:type="dxa"/>
            </w:tcMar>
          </w:tcPr>
          <w:p>
            <w:r>
              <w:rPr>
                <w:sz w:val="18"/>
              </w:rPr>
              <w:t>Loss or compromise of one participant cannot create mandatory global failure.</w:t>
            </w:r>
          </w:p>
        </w:tc>
      </w:tr>
      <w:tr>
        <w:tc>
          <w:tcPr>
            <w:tcW w:type="dxa" w:w="1152"/>
            <w:vAlign w:val="center"/>
            <w:tcMar>
              <w:top w:w="100" w:type="dxa"/>
              <w:start w:w="120" w:type="dxa"/>
              <w:bottom w:w="100" w:type="dxa"/>
              <w:end w:w="120" w:type="dxa"/>
            </w:tcMar>
            <w:shd w:fill="F1F5F8"/>
          </w:tcPr>
          <w:p>
            <w:r>
              <w:rPr>
                <w:sz w:val="18"/>
              </w:rPr>
              <w:t>INV-008</w:t>
            </w:r>
          </w:p>
        </w:tc>
        <w:tc>
          <w:tcPr>
            <w:tcW w:type="dxa" w:w="8784"/>
            <w:vAlign w:val="center"/>
            <w:tcMar>
              <w:top w:w="100" w:type="dxa"/>
              <w:start w:w="120" w:type="dxa"/>
              <w:bottom w:w="100" w:type="dxa"/>
              <w:end w:w="120" w:type="dxa"/>
            </w:tcMar>
            <w:shd w:fill="F1F5F8"/>
          </w:tcPr>
          <w:p>
            <w:r>
              <w:rPr>
                <w:sz w:val="18"/>
              </w:rPr>
              <w:t>Recovery requires new evidence; time alone is insufficient.</w:t>
            </w:r>
          </w:p>
        </w:tc>
      </w:tr>
      <w:tr>
        <w:tc>
          <w:tcPr>
            <w:tcW w:type="dxa" w:w="1152"/>
            <w:vAlign w:val="center"/>
            <w:tcMar>
              <w:top w:w="100" w:type="dxa"/>
              <w:start w:w="120" w:type="dxa"/>
              <w:bottom w:w="100" w:type="dxa"/>
              <w:end w:w="120" w:type="dxa"/>
            </w:tcMar>
          </w:tcPr>
          <w:p>
            <w:r>
              <w:rPr>
                <w:sz w:val="18"/>
              </w:rPr>
              <w:t>INV-009</w:t>
            </w:r>
          </w:p>
        </w:tc>
        <w:tc>
          <w:tcPr>
            <w:tcW w:type="dxa" w:w="8784"/>
            <w:vAlign w:val="center"/>
            <w:tcMar>
              <w:top w:w="100" w:type="dxa"/>
              <w:start w:w="120" w:type="dxa"/>
              <w:bottom w:w="100" w:type="dxa"/>
              <w:end w:w="120" w:type="dxa"/>
            </w:tcMar>
          </w:tcPr>
          <w:p>
            <w:r>
              <w:rPr>
                <w:sz w:val="18"/>
              </w:rPr>
              <w:t>Multiple observers controlled by one trust domain do not automatically constitute independent corroboration.</w:t>
            </w:r>
          </w:p>
        </w:tc>
      </w:tr>
      <w:tr>
        <w:tc>
          <w:tcPr>
            <w:tcW w:type="dxa" w:w="1152"/>
            <w:vAlign w:val="center"/>
            <w:tcMar>
              <w:top w:w="100" w:type="dxa"/>
              <w:start w:w="120" w:type="dxa"/>
              <w:bottom w:w="100" w:type="dxa"/>
              <w:end w:w="120" w:type="dxa"/>
            </w:tcMar>
            <w:shd w:fill="F1F5F8"/>
          </w:tcPr>
          <w:p>
            <w:r>
              <w:rPr>
                <w:sz w:val="18"/>
              </w:rPr>
              <w:t>INV-010</w:t>
            </w:r>
          </w:p>
        </w:tc>
        <w:tc>
          <w:tcPr>
            <w:tcW w:type="dxa" w:w="8784"/>
            <w:vAlign w:val="center"/>
            <w:tcMar>
              <w:top w:w="100" w:type="dxa"/>
              <w:start w:w="120" w:type="dxa"/>
              <w:bottom w:w="100" w:type="dxa"/>
              <w:end w:w="120" w:type="dxa"/>
            </w:tcMar>
            <w:shd w:fill="F1F5F8"/>
          </w:tcPr>
          <w:p>
            <w:r>
              <w:rPr>
                <w:sz w:val="18"/>
              </w:rPr>
              <w:t>Unknown optional fields and extensions cannot silently weaken mandatory validation.</w:t>
            </w:r>
          </w:p>
        </w:tc>
      </w:tr>
      <w:tr>
        <w:tc>
          <w:tcPr>
            <w:tcW w:type="dxa" w:w="1152"/>
            <w:vAlign w:val="center"/>
            <w:tcMar>
              <w:top w:w="100" w:type="dxa"/>
              <w:start w:w="120" w:type="dxa"/>
              <w:bottom w:w="100" w:type="dxa"/>
              <w:end w:w="120" w:type="dxa"/>
            </w:tcMar>
          </w:tcPr>
          <w:p>
            <w:r>
              <w:rPr>
                <w:sz w:val="18"/>
              </w:rPr>
              <w:t>INV-011</w:t>
            </w:r>
          </w:p>
        </w:tc>
        <w:tc>
          <w:tcPr>
            <w:tcW w:type="dxa" w:w="8784"/>
            <w:vAlign w:val="center"/>
            <w:tcMar>
              <w:top w:w="100" w:type="dxa"/>
              <w:start w:w="120" w:type="dxa"/>
              <w:bottom w:w="100" w:type="dxa"/>
              <w:end w:w="120" w:type="dxa"/>
            </w:tcMar>
          </w:tcPr>
          <w:p>
            <w:r>
              <w:rPr>
                <w:sz w:val="18"/>
              </w:rPr>
              <w:t>A node can reject remote input without surrendering its ability to use local observations.</w:t>
            </w:r>
          </w:p>
        </w:tc>
      </w:tr>
      <w:tr>
        <w:tc>
          <w:tcPr>
            <w:tcW w:type="dxa" w:w="1152"/>
            <w:vAlign w:val="center"/>
            <w:tcMar>
              <w:top w:w="100" w:type="dxa"/>
              <w:start w:w="120" w:type="dxa"/>
              <w:bottom w:w="100" w:type="dxa"/>
              <w:end w:w="120" w:type="dxa"/>
            </w:tcMar>
            <w:shd w:fill="F1F5F8"/>
          </w:tcPr>
          <w:p>
            <w:r>
              <w:rPr>
                <w:sz w:val="18"/>
              </w:rPr>
              <w:t>INV-012</w:t>
            </w:r>
          </w:p>
        </w:tc>
        <w:tc>
          <w:tcPr>
            <w:tcW w:type="dxa" w:w="8784"/>
            <w:vAlign w:val="center"/>
            <w:tcMar>
              <w:top w:w="100" w:type="dxa"/>
              <w:start w:w="120" w:type="dxa"/>
              <w:bottom w:w="100" w:type="dxa"/>
              <w:end w:w="120" w:type="dxa"/>
            </w:tcMar>
            <w:shd w:fill="F1F5F8"/>
          </w:tcPr>
          <w:p>
            <w:r>
              <w:rPr>
                <w:sz w:val="18"/>
              </w:rPr>
              <w:t>No protocol path grants a sensor authority beyond its declared scope.</w:t>
            </w:r>
          </w:p>
        </w:tc>
      </w:tr>
    </w:tbl>
    <w:p/>
    <w:p>
      <w:pPr>
        <w:pStyle w:val="Heading2"/>
      </w:pPr>
      <w:r>
        <w:t>4.4 Observer taxonomy and scope</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Observer type</w:t>
            </w:r>
          </w:p>
        </w:tc>
        <w:tc>
          <w:tcPr>
            <w:tcW w:type="dxa" w:w="4464"/>
            <w:shd w:fill="183B56"/>
            <w:vAlign w:val="center"/>
            <w:tcMar>
              <w:top w:w="100" w:type="dxa"/>
              <w:start w:w="120" w:type="dxa"/>
              <w:bottom w:w="100" w:type="dxa"/>
              <w:end w:w="120" w:type="dxa"/>
            </w:tcMar>
          </w:tcPr>
          <w:p>
            <w:pPr>
              <w:jc w:val="center"/>
            </w:pPr>
            <w:r>
              <w:rPr>
                <w:b/>
                <w:color w:val="FFFFFF"/>
                <w:sz w:val="18"/>
              </w:rPr>
              <w:t>Typical direct observations</w:t>
            </w:r>
          </w:p>
        </w:tc>
        <w:tc>
          <w:tcPr>
            <w:tcW w:type="dxa" w:w="3744"/>
            <w:shd w:fill="183B56"/>
            <w:vAlign w:val="center"/>
            <w:tcMar>
              <w:top w:w="100" w:type="dxa"/>
              <w:start w:w="120" w:type="dxa"/>
              <w:bottom w:w="100" w:type="dxa"/>
              <w:end w:w="120" w:type="dxa"/>
            </w:tcMar>
          </w:tcPr>
          <w:p>
            <w:pPr>
              <w:jc w:val="center"/>
            </w:pPr>
            <w:r>
              <w:rPr>
                <w:b/>
                <w:color w:val="FFFFFF"/>
                <w:sz w:val="18"/>
              </w:rPr>
              <w:t>Out-of-scope examples</w:t>
            </w:r>
          </w:p>
        </w:tc>
      </w:tr>
      <w:tr>
        <w:tc>
          <w:tcPr>
            <w:tcW w:type="dxa" w:w="1728"/>
            <w:vAlign w:val="center"/>
            <w:tcMar>
              <w:top w:w="100" w:type="dxa"/>
              <w:start w:w="120" w:type="dxa"/>
              <w:bottom w:w="100" w:type="dxa"/>
              <w:end w:w="120" w:type="dxa"/>
            </w:tcMar>
          </w:tcPr>
          <w:p>
            <w:r>
              <w:rPr>
                <w:sz w:val="18"/>
              </w:rPr>
              <w:t>Runtime</w:t>
            </w:r>
          </w:p>
        </w:tc>
        <w:tc>
          <w:tcPr>
            <w:tcW w:type="dxa" w:w="4464"/>
            <w:vAlign w:val="center"/>
            <w:tcMar>
              <w:top w:w="100" w:type="dxa"/>
              <w:start w:w="120" w:type="dxa"/>
              <w:bottom w:w="100" w:type="dxa"/>
              <w:end w:w="120" w:type="dxa"/>
            </w:tcMar>
          </w:tcPr>
          <w:p>
            <w:r>
              <w:rPr>
                <w:sz w:val="18"/>
              </w:rPr>
              <w:t>Lifecycle, execution state, process/resource anomaly, sandbox status</w:t>
            </w:r>
          </w:p>
        </w:tc>
        <w:tc>
          <w:tcPr>
            <w:tcW w:type="dxa" w:w="3744"/>
            <w:vAlign w:val="center"/>
            <w:tcMar>
              <w:top w:w="100" w:type="dxa"/>
              <w:start w:w="120" w:type="dxa"/>
              <w:bottom w:w="100" w:type="dxa"/>
              <w:end w:w="120" w:type="dxa"/>
            </w:tcMar>
          </w:tcPr>
          <w:p>
            <w:r>
              <w:rPr>
                <w:sz w:val="18"/>
              </w:rPr>
              <w:t>Credential theft without identity evidence</w:t>
            </w:r>
          </w:p>
        </w:tc>
      </w:tr>
      <w:tr>
        <w:tc>
          <w:tcPr>
            <w:tcW w:type="dxa" w:w="1728"/>
            <w:vAlign w:val="center"/>
            <w:tcMar>
              <w:top w:w="100" w:type="dxa"/>
              <w:start w:w="120" w:type="dxa"/>
              <w:bottom w:w="100" w:type="dxa"/>
              <w:end w:w="120" w:type="dxa"/>
            </w:tcMar>
            <w:shd w:fill="F1F5F8"/>
          </w:tcPr>
          <w:p>
            <w:r>
              <w:rPr>
                <w:sz w:val="18"/>
              </w:rPr>
              <w:t>Tool</w:t>
            </w:r>
          </w:p>
        </w:tc>
        <w:tc>
          <w:tcPr>
            <w:tcW w:type="dxa" w:w="4464"/>
            <w:vAlign w:val="center"/>
            <w:tcMar>
              <w:top w:w="100" w:type="dxa"/>
              <w:start w:w="120" w:type="dxa"/>
              <w:bottom w:w="100" w:type="dxa"/>
              <w:end w:w="120" w:type="dxa"/>
            </w:tcMar>
            <w:shd w:fill="F1F5F8"/>
          </w:tcPr>
          <w:p>
            <w:r>
              <w:rPr>
                <w:sz w:val="18"/>
              </w:rPr>
              <w:t>Invocation, parameters metadata, resource access, result classification</w:t>
            </w:r>
          </w:p>
        </w:tc>
        <w:tc>
          <w:tcPr>
            <w:tcW w:type="dxa" w:w="3744"/>
            <w:vAlign w:val="center"/>
            <w:tcMar>
              <w:top w:w="100" w:type="dxa"/>
              <w:start w:w="120" w:type="dxa"/>
              <w:bottom w:w="100" w:type="dxa"/>
              <w:end w:w="120" w:type="dxa"/>
            </w:tcMar>
            <w:shd w:fill="F1F5F8"/>
          </w:tcPr>
          <w:p>
            <w:r>
              <w:rPr>
                <w:sz w:val="18"/>
              </w:rPr>
              <w:t>Host integrity or unrelated memory content</w:t>
            </w:r>
          </w:p>
        </w:tc>
      </w:tr>
      <w:tr>
        <w:tc>
          <w:tcPr>
            <w:tcW w:type="dxa" w:w="1728"/>
            <w:vAlign w:val="center"/>
            <w:tcMar>
              <w:top w:w="100" w:type="dxa"/>
              <w:start w:w="120" w:type="dxa"/>
              <w:bottom w:w="100" w:type="dxa"/>
              <w:end w:w="120" w:type="dxa"/>
            </w:tcMar>
          </w:tcPr>
          <w:p>
            <w:r>
              <w:rPr>
                <w:sz w:val="18"/>
              </w:rPr>
              <w:t>Memory</w:t>
            </w:r>
          </w:p>
        </w:tc>
        <w:tc>
          <w:tcPr>
            <w:tcW w:type="dxa" w:w="4464"/>
            <w:vAlign w:val="center"/>
            <w:tcMar>
              <w:top w:w="100" w:type="dxa"/>
              <w:start w:w="120" w:type="dxa"/>
              <w:bottom w:w="100" w:type="dxa"/>
              <w:end w:w="120" w:type="dxa"/>
            </w:tcMar>
          </w:tcPr>
          <w:p>
            <w:r>
              <w:rPr>
                <w:sz w:val="18"/>
              </w:rPr>
              <w:t>Reads, writes, provenance, lineage, contamination markers</w:t>
            </w:r>
          </w:p>
        </w:tc>
        <w:tc>
          <w:tcPr>
            <w:tcW w:type="dxa" w:w="3744"/>
            <w:vAlign w:val="center"/>
            <w:tcMar>
              <w:top w:w="100" w:type="dxa"/>
              <w:start w:w="120" w:type="dxa"/>
              <w:bottom w:w="100" w:type="dxa"/>
              <w:end w:w="120" w:type="dxa"/>
            </w:tcMar>
          </w:tcPr>
          <w:p>
            <w:r>
              <w:rPr>
                <w:sz w:val="18"/>
              </w:rPr>
              <w:t>Network compromise</w:t>
            </w:r>
          </w:p>
        </w:tc>
      </w:tr>
      <w:tr>
        <w:tc>
          <w:tcPr>
            <w:tcW w:type="dxa" w:w="1728"/>
            <w:vAlign w:val="center"/>
            <w:tcMar>
              <w:top w:w="100" w:type="dxa"/>
              <w:start w:w="120" w:type="dxa"/>
              <w:bottom w:w="100" w:type="dxa"/>
              <w:end w:w="120" w:type="dxa"/>
            </w:tcMar>
            <w:shd w:fill="F1F5F8"/>
          </w:tcPr>
          <w:p>
            <w:r>
              <w:rPr>
                <w:sz w:val="18"/>
              </w:rPr>
              <w:t>Identity</w:t>
            </w:r>
          </w:p>
        </w:tc>
        <w:tc>
          <w:tcPr>
            <w:tcW w:type="dxa" w:w="4464"/>
            <w:vAlign w:val="center"/>
            <w:tcMar>
              <w:top w:w="100" w:type="dxa"/>
              <w:start w:w="120" w:type="dxa"/>
              <w:bottom w:w="100" w:type="dxa"/>
              <w:end w:w="120" w:type="dxa"/>
            </w:tcMar>
            <w:shd w:fill="F1F5F8"/>
          </w:tcPr>
          <w:p>
            <w:r>
              <w:rPr>
                <w:sz w:val="18"/>
              </w:rPr>
              <w:t>Authentication, credential use, token age, attestation status</w:t>
            </w:r>
          </w:p>
        </w:tc>
        <w:tc>
          <w:tcPr>
            <w:tcW w:type="dxa" w:w="3744"/>
            <w:vAlign w:val="center"/>
            <w:tcMar>
              <w:top w:w="100" w:type="dxa"/>
              <w:start w:w="120" w:type="dxa"/>
              <w:bottom w:w="100" w:type="dxa"/>
              <w:end w:w="120" w:type="dxa"/>
            </w:tcMar>
            <w:shd w:fill="F1F5F8"/>
          </w:tcPr>
          <w:p>
            <w:r>
              <w:rPr>
                <w:sz w:val="18"/>
              </w:rPr>
              <w:t>Tool semantic intent</w:t>
            </w:r>
          </w:p>
        </w:tc>
      </w:tr>
      <w:tr>
        <w:tc>
          <w:tcPr>
            <w:tcW w:type="dxa" w:w="1728"/>
            <w:vAlign w:val="center"/>
            <w:tcMar>
              <w:top w:w="100" w:type="dxa"/>
              <w:start w:w="120" w:type="dxa"/>
              <w:bottom w:w="100" w:type="dxa"/>
              <w:end w:w="120" w:type="dxa"/>
            </w:tcMar>
          </w:tcPr>
          <w:p>
            <w:r>
              <w:rPr>
                <w:sz w:val="18"/>
              </w:rPr>
              <w:t>Network</w:t>
            </w:r>
          </w:p>
        </w:tc>
        <w:tc>
          <w:tcPr>
            <w:tcW w:type="dxa" w:w="4464"/>
            <w:vAlign w:val="center"/>
            <w:tcMar>
              <w:top w:w="100" w:type="dxa"/>
              <w:start w:w="120" w:type="dxa"/>
              <w:bottom w:w="100" w:type="dxa"/>
              <w:end w:w="120" w:type="dxa"/>
            </w:tcMar>
          </w:tcPr>
          <w:p>
            <w:r>
              <w:rPr>
                <w:sz w:val="18"/>
              </w:rPr>
              <w:t>Peer communication, routing, transport failure, unusual destination</w:t>
            </w:r>
          </w:p>
        </w:tc>
        <w:tc>
          <w:tcPr>
            <w:tcW w:type="dxa" w:w="3744"/>
            <w:vAlign w:val="center"/>
            <w:tcMar>
              <w:top w:w="100" w:type="dxa"/>
              <w:start w:w="120" w:type="dxa"/>
              <w:bottom w:w="100" w:type="dxa"/>
              <w:end w:w="120" w:type="dxa"/>
            </w:tcMar>
          </w:tcPr>
          <w:p>
            <w:r>
              <w:rPr>
                <w:sz w:val="18"/>
              </w:rPr>
              <w:t>Memory truthfulness</w:t>
            </w:r>
          </w:p>
        </w:tc>
      </w:tr>
      <w:tr>
        <w:tc>
          <w:tcPr>
            <w:tcW w:type="dxa" w:w="1728"/>
            <w:vAlign w:val="center"/>
            <w:tcMar>
              <w:top w:w="100" w:type="dxa"/>
              <w:start w:w="120" w:type="dxa"/>
              <w:bottom w:w="100" w:type="dxa"/>
              <w:end w:w="120" w:type="dxa"/>
            </w:tcMar>
            <w:shd w:fill="F1F5F8"/>
          </w:tcPr>
          <w:p>
            <w:r>
              <w:rPr>
                <w:sz w:val="18"/>
              </w:rPr>
              <w:t>Policy</w:t>
            </w:r>
          </w:p>
        </w:tc>
        <w:tc>
          <w:tcPr>
            <w:tcW w:type="dxa" w:w="4464"/>
            <w:vAlign w:val="center"/>
            <w:tcMar>
              <w:top w:w="100" w:type="dxa"/>
              <w:start w:w="120" w:type="dxa"/>
              <w:bottom w:w="100" w:type="dxa"/>
              <w:end w:w="120" w:type="dxa"/>
            </w:tcMar>
            <w:shd w:fill="F1F5F8"/>
          </w:tcPr>
          <w:p>
            <w:r>
              <w:rPr>
                <w:sz w:val="18"/>
              </w:rPr>
              <w:t>Policy query, decision, matched rule, obligation</w:t>
            </w:r>
          </w:p>
        </w:tc>
        <w:tc>
          <w:tcPr>
            <w:tcW w:type="dxa" w:w="3744"/>
            <w:vAlign w:val="center"/>
            <w:tcMar>
              <w:top w:w="100" w:type="dxa"/>
              <w:start w:w="120" w:type="dxa"/>
              <w:bottom w:w="100" w:type="dxa"/>
              <w:end w:w="120" w:type="dxa"/>
            </w:tcMar>
            <w:shd w:fill="F1F5F8"/>
          </w:tcPr>
          <w:p>
            <w:r>
              <w:rPr>
                <w:sz w:val="18"/>
              </w:rPr>
              <w:t>Behavioral compromise beyond policy inputs</w:t>
            </w:r>
          </w:p>
        </w:tc>
      </w:tr>
      <w:tr>
        <w:tc>
          <w:tcPr>
            <w:tcW w:type="dxa" w:w="1728"/>
            <w:vAlign w:val="center"/>
            <w:tcMar>
              <w:top w:w="100" w:type="dxa"/>
              <w:start w:w="120" w:type="dxa"/>
              <w:bottom w:w="100" w:type="dxa"/>
              <w:end w:w="120" w:type="dxa"/>
            </w:tcMar>
          </w:tcPr>
          <w:p>
            <w:r>
              <w:rPr>
                <w:sz w:val="18"/>
              </w:rPr>
              <w:t>Attestation</w:t>
            </w:r>
          </w:p>
        </w:tc>
        <w:tc>
          <w:tcPr>
            <w:tcW w:type="dxa" w:w="4464"/>
            <w:vAlign w:val="center"/>
            <w:tcMar>
              <w:top w:w="100" w:type="dxa"/>
              <w:start w:w="120" w:type="dxa"/>
              <w:bottom w:w="100" w:type="dxa"/>
              <w:end w:w="120" w:type="dxa"/>
            </w:tcMar>
          </w:tcPr>
          <w:p>
            <w:r>
              <w:rPr>
                <w:sz w:val="18"/>
              </w:rPr>
              <w:t>Platform/workload integrity claims</w:t>
            </w:r>
          </w:p>
        </w:tc>
        <w:tc>
          <w:tcPr>
            <w:tcW w:type="dxa" w:w="3744"/>
            <w:vAlign w:val="center"/>
            <w:tcMar>
              <w:top w:w="100" w:type="dxa"/>
              <w:start w:w="120" w:type="dxa"/>
              <w:bottom w:w="100" w:type="dxa"/>
              <w:end w:w="120" w:type="dxa"/>
            </w:tcMar>
          </w:tcPr>
          <w:p>
            <w:r>
              <w:rPr>
                <w:sz w:val="18"/>
              </w:rPr>
              <w:t>Application-level intent</w:t>
            </w:r>
          </w:p>
        </w:tc>
      </w:tr>
      <w:tr>
        <w:tc>
          <w:tcPr>
            <w:tcW w:type="dxa" w:w="1728"/>
            <w:vAlign w:val="center"/>
            <w:tcMar>
              <w:top w:w="100" w:type="dxa"/>
              <w:start w:w="120" w:type="dxa"/>
              <w:bottom w:w="100" w:type="dxa"/>
              <w:end w:w="120" w:type="dxa"/>
            </w:tcMar>
            <w:shd w:fill="F1F5F8"/>
          </w:tcPr>
          <w:p>
            <w:r>
              <w:rPr>
                <w:sz w:val="18"/>
              </w:rPr>
              <w:t>Recovery</w:t>
            </w:r>
          </w:p>
        </w:tc>
        <w:tc>
          <w:tcPr>
            <w:tcW w:type="dxa" w:w="4464"/>
            <w:vAlign w:val="center"/>
            <w:tcMar>
              <w:top w:w="100" w:type="dxa"/>
              <w:start w:w="120" w:type="dxa"/>
              <w:bottom w:w="100" w:type="dxa"/>
              <w:end w:w="120" w:type="dxa"/>
            </w:tcMar>
            <w:shd w:fill="F1F5F8"/>
          </w:tcPr>
          <w:p>
            <w:r>
              <w:rPr>
                <w:sz w:val="18"/>
              </w:rPr>
              <w:t>Re-attestation, credential rotation, clean checkpoint, replay success</w:t>
            </w:r>
          </w:p>
        </w:tc>
        <w:tc>
          <w:tcPr>
            <w:tcW w:type="dxa" w:w="3744"/>
            <w:vAlign w:val="center"/>
            <w:tcMar>
              <w:top w:w="100" w:type="dxa"/>
              <w:start w:w="120" w:type="dxa"/>
              <w:bottom w:w="100" w:type="dxa"/>
              <w:end w:w="120" w:type="dxa"/>
            </w:tcMar>
            <w:shd w:fill="F1F5F8"/>
          </w:tcPr>
          <w:p>
            <w:r>
              <w:rPr>
                <w:sz w:val="18"/>
              </w:rPr>
              <w:t>Permanent proof of future health</w:t>
            </w:r>
          </w:p>
        </w:tc>
      </w:tr>
    </w:tbl>
    <w:p/>
    <w:p>
      <w:pPr>
        <w:pStyle w:val="Heading2"/>
      </w:pPr>
      <w:r>
        <w:t>4.5 Local trust lifecycle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UNKNOWN -&gt; HEALTHY -&gt; SUSPICIOUS -&gt; CONSTRAINED -&gt; QUARANTINED</w:t>
              <w:br/>
              <w:t xml:space="preserve">    ^          |             |              |               |</w:t>
              <w:br/>
              <w:t xml:space="preserve">    |          v             v              v               v</w:t>
              <w:br/>
              <w:t xml:space="preserve">    +------ RECOVERING &lt;- evidence-backed remediation &lt;-+</w:t>
              <w:br/>
              <w:br/>
              <w:t>Transitions are local. Implementations may use different names or internal scores, but benchmark adapters must expose equivalent externally observable states.</w:t>
            </w:r>
          </w:p>
        </w:tc>
      </w:tr>
    </w:tbl>
    <w:p/>
    <w:p>
      <w:r>
        <w:t>Suggested state meanings:</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83B56"/>
            <w:vAlign w:val="center"/>
            <w:tcMar>
              <w:top w:w="100" w:type="dxa"/>
              <w:start w:w="120" w:type="dxa"/>
              <w:bottom w:w="100" w:type="dxa"/>
              <w:end w:w="120" w:type="dxa"/>
            </w:tcMar>
          </w:tcPr>
          <w:p>
            <w:pPr>
              <w:jc w:val="center"/>
            </w:pPr>
            <w:r>
              <w:rPr>
                <w:b/>
                <w:color w:val="FFFFFF"/>
                <w:sz w:val="18"/>
              </w:rPr>
              <w:t>State</w:t>
            </w:r>
          </w:p>
        </w:tc>
        <w:tc>
          <w:tcPr>
            <w:tcW w:type="dxa" w:w="4896"/>
            <w:shd w:fill="183B56"/>
            <w:vAlign w:val="center"/>
            <w:tcMar>
              <w:top w:w="100" w:type="dxa"/>
              <w:start w:w="120" w:type="dxa"/>
              <w:bottom w:w="100" w:type="dxa"/>
              <w:end w:w="120" w:type="dxa"/>
            </w:tcMar>
          </w:tcPr>
          <w:p>
            <w:pPr>
              <w:jc w:val="center"/>
            </w:pPr>
            <w:r>
              <w:rPr>
                <w:b/>
                <w:color w:val="FFFFFF"/>
                <w:sz w:val="18"/>
              </w:rPr>
              <w:t>Meaning</w:t>
            </w:r>
          </w:p>
        </w:tc>
        <w:tc>
          <w:tcPr>
            <w:tcW w:type="dxa" w:w="3456"/>
            <w:shd w:fill="183B56"/>
            <w:vAlign w:val="center"/>
            <w:tcMar>
              <w:top w:w="100" w:type="dxa"/>
              <w:start w:w="120" w:type="dxa"/>
              <w:bottom w:w="100" w:type="dxa"/>
              <w:end w:w="120" w:type="dxa"/>
            </w:tcMar>
          </w:tcPr>
          <w:p>
            <w:pPr>
              <w:jc w:val="center"/>
            </w:pPr>
            <w:r>
              <w:rPr>
                <w:b/>
                <w:color w:val="FFFFFF"/>
                <w:sz w:val="18"/>
              </w:rPr>
              <w:t>Typical response</w:t>
            </w:r>
          </w:p>
        </w:tc>
      </w:tr>
      <w:tr>
        <w:tc>
          <w:tcPr>
            <w:tcW w:type="dxa" w:w="1584"/>
            <w:vAlign w:val="center"/>
            <w:tcMar>
              <w:top w:w="100" w:type="dxa"/>
              <w:start w:w="120" w:type="dxa"/>
              <w:bottom w:w="100" w:type="dxa"/>
              <w:end w:w="120" w:type="dxa"/>
            </w:tcMar>
          </w:tcPr>
          <w:p>
            <w:r>
              <w:rPr>
                <w:sz w:val="18"/>
              </w:rPr>
              <w:t>Unknown</w:t>
            </w:r>
          </w:p>
        </w:tc>
        <w:tc>
          <w:tcPr>
            <w:tcW w:type="dxa" w:w="4896"/>
            <w:vAlign w:val="center"/>
            <w:tcMar>
              <w:top w:w="100" w:type="dxa"/>
              <w:start w:w="120" w:type="dxa"/>
              <w:bottom w:w="100" w:type="dxa"/>
              <w:end w:w="120" w:type="dxa"/>
            </w:tcMar>
          </w:tcPr>
          <w:p>
            <w:r>
              <w:rPr>
                <w:sz w:val="18"/>
              </w:rPr>
              <w:t>Insufficient current evidence</w:t>
            </w:r>
          </w:p>
        </w:tc>
        <w:tc>
          <w:tcPr>
            <w:tcW w:type="dxa" w:w="3456"/>
            <w:vAlign w:val="center"/>
            <w:tcMar>
              <w:top w:w="100" w:type="dxa"/>
              <w:start w:w="120" w:type="dxa"/>
              <w:bottom w:w="100" w:type="dxa"/>
              <w:end w:w="120" w:type="dxa"/>
            </w:tcMar>
          </w:tcPr>
          <w:p>
            <w:r>
              <w:rPr>
                <w:sz w:val="18"/>
              </w:rPr>
              <w:t>Least privilege, challenge, or increased observation</w:t>
            </w:r>
          </w:p>
        </w:tc>
      </w:tr>
      <w:tr>
        <w:tc>
          <w:tcPr>
            <w:tcW w:type="dxa" w:w="1584"/>
            <w:vAlign w:val="center"/>
            <w:tcMar>
              <w:top w:w="100" w:type="dxa"/>
              <w:start w:w="120" w:type="dxa"/>
              <w:bottom w:w="100" w:type="dxa"/>
              <w:end w:w="120" w:type="dxa"/>
            </w:tcMar>
            <w:shd w:fill="F1F5F8"/>
          </w:tcPr>
          <w:p>
            <w:r>
              <w:rPr>
                <w:sz w:val="18"/>
              </w:rPr>
              <w:t>Healthy</w:t>
            </w:r>
          </w:p>
        </w:tc>
        <w:tc>
          <w:tcPr>
            <w:tcW w:type="dxa" w:w="4896"/>
            <w:vAlign w:val="center"/>
            <w:tcMar>
              <w:top w:w="100" w:type="dxa"/>
              <w:start w:w="120" w:type="dxa"/>
              <w:bottom w:w="100" w:type="dxa"/>
              <w:end w:w="120" w:type="dxa"/>
            </w:tcMar>
            <w:shd w:fill="F1F5F8"/>
          </w:tcPr>
          <w:p>
            <w:r>
              <w:rPr>
                <w:sz w:val="18"/>
              </w:rPr>
              <w:t>Current evidence is consistent with expected operation</w:t>
            </w:r>
          </w:p>
        </w:tc>
        <w:tc>
          <w:tcPr>
            <w:tcW w:type="dxa" w:w="3456"/>
            <w:vAlign w:val="center"/>
            <w:tcMar>
              <w:top w:w="100" w:type="dxa"/>
              <w:start w:w="120" w:type="dxa"/>
              <w:bottom w:w="100" w:type="dxa"/>
              <w:end w:w="120" w:type="dxa"/>
            </w:tcMar>
            <w:shd w:fill="F1F5F8"/>
          </w:tcPr>
          <w:p>
            <w:r>
              <w:rPr>
                <w:sz w:val="18"/>
              </w:rPr>
              <w:t>Normal policy-authorized capabilities</w:t>
            </w:r>
          </w:p>
        </w:tc>
      </w:tr>
      <w:tr>
        <w:tc>
          <w:tcPr>
            <w:tcW w:type="dxa" w:w="1584"/>
            <w:vAlign w:val="center"/>
            <w:tcMar>
              <w:top w:w="100" w:type="dxa"/>
              <w:start w:w="120" w:type="dxa"/>
              <w:bottom w:w="100" w:type="dxa"/>
              <w:end w:w="120" w:type="dxa"/>
            </w:tcMar>
          </w:tcPr>
          <w:p>
            <w:r>
              <w:rPr>
                <w:sz w:val="18"/>
              </w:rPr>
              <w:t>Suspicious</w:t>
            </w:r>
          </w:p>
        </w:tc>
        <w:tc>
          <w:tcPr>
            <w:tcW w:type="dxa" w:w="4896"/>
            <w:vAlign w:val="center"/>
            <w:tcMar>
              <w:top w:w="100" w:type="dxa"/>
              <w:start w:w="120" w:type="dxa"/>
              <w:bottom w:w="100" w:type="dxa"/>
              <w:end w:w="120" w:type="dxa"/>
            </w:tcMar>
          </w:tcPr>
          <w:p>
            <w:r>
              <w:rPr>
                <w:sz w:val="18"/>
              </w:rPr>
              <w:t>Anomalous or conflicting evidence exists</w:t>
            </w:r>
          </w:p>
        </w:tc>
        <w:tc>
          <w:tcPr>
            <w:tcW w:type="dxa" w:w="3456"/>
            <w:vAlign w:val="center"/>
            <w:tcMar>
              <w:top w:w="100" w:type="dxa"/>
              <w:start w:w="120" w:type="dxa"/>
              <w:bottom w:w="100" w:type="dxa"/>
              <w:end w:w="120" w:type="dxa"/>
            </w:tcMar>
          </w:tcPr>
          <w:p>
            <w:r>
              <w:rPr>
                <w:sz w:val="18"/>
              </w:rPr>
              <w:t>Increase monitoring; require corroboration</w:t>
            </w:r>
          </w:p>
        </w:tc>
      </w:tr>
      <w:tr>
        <w:tc>
          <w:tcPr>
            <w:tcW w:type="dxa" w:w="1584"/>
            <w:vAlign w:val="center"/>
            <w:tcMar>
              <w:top w:w="100" w:type="dxa"/>
              <w:start w:w="120" w:type="dxa"/>
              <w:bottom w:w="100" w:type="dxa"/>
              <w:end w:w="120" w:type="dxa"/>
            </w:tcMar>
            <w:shd w:fill="F1F5F8"/>
          </w:tcPr>
          <w:p>
            <w:r>
              <w:rPr>
                <w:sz w:val="18"/>
              </w:rPr>
              <w:t>Constrained</w:t>
            </w:r>
          </w:p>
        </w:tc>
        <w:tc>
          <w:tcPr>
            <w:tcW w:type="dxa" w:w="4896"/>
            <w:vAlign w:val="center"/>
            <w:tcMar>
              <w:top w:w="100" w:type="dxa"/>
              <w:start w:w="120" w:type="dxa"/>
              <w:bottom w:w="100" w:type="dxa"/>
              <w:end w:w="120" w:type="dxa"/>
            </w:tcMar>
            <w:shd w:fill="F1F5F8"/>
          </w:tcPr>
          <w:p>
            <w:r>
              <w:rPr>
                <w:sz w:val="18"/>
              </w:rPr>
              <w:t>Risk is material but incomplete</w:t>
            </w:r>
          </w:p>
        </w:tc>
        <w:tc>
          <w:tcPr>
            <w:tcW w:type="dxa" w:w="3456"/>
            <w:vAlign w:val="center"/>
            <w:tcMar>
              <w:top w:w="100" w:type="dxa"/>
              <w:start w:w="120" w:type="dxa"/>
              <w:bottom w:w="100" w:type="dxa"/>
              <w:end w:w="120" w:type="dxa"/>
            </w:tcMar>
            <w:shd w:fill="F1F5F8"/>
          </w:tcPr>
          <w:p>
            <w:r>
              <w:rPr>
                <w:sz w:val="18"/>
              </w:rPr>
              <w:t>Reduce capabilities, rate-limit, isolate sensitive resources</w:t>
            </w:r>
          </w:p>
        </w:tc>
      </w:tr>
      <w:tr>
        <w:tc>
          <w:tcPr>
            <w:tcW w:type="dxa" w:w="1584"/>
            <w:vAlign w:val="center"/>
            <w:tcMar>
              <w:top w:w="100" w:type="dxa"/>
              <w:start w:w="120" w:type="dxa"/>
              <w:bottom w:w="100" w:type="dxa"/>
              <w:end w:w="120" w:type="dxa"/>
            </w:tcMar>
          </w:tcPr>
          <w:p>
            <w:r>
              <w:rPr>
                <w:sz w:val="18"/>
              </w:rPr>
              <w:t>Quarantined</w:t>
            </w:r>
          </w:p>
        </w:tc>
        <w:tc>
          <w:tcPr>
            <w:tcW w:type="dxa" w:w="4896"/>
            <w:vAlign w:val="center"/>
            <w:tcMar>
              <w:top w:w="100" w:type="dxa"/>
              <w:start w:w="120" w:type="dxa"/>
              <w:bottom w:w="100" w:type="dxa"/>
              <w:end w:w="120" w:type="dxa"/>
            </w:tcMar>
          </w:tcPr>
          <w:p>
            <w:r>
              <w:rPr>
                <w:sz w:val="18"/>
              </w:rPr>
              <w:t>Local evidence threshold for isolation is met</w:t>
            </w:r>
          </w:p>
        </w:tc>
        <w:tc>
          <w:tcPr>
            <w:tcW w:type="dxa" w:w="3456"/>
            <w:vAlign w:val="center"/>
            <w:tcMar>
              <w:top w:w="100" w:type="dxa"/>
              <w:start w:w="120" w:type="dxa"/>
              <w:bottom w:w="100" w:type="dxa"/>
              <w:end w:w="120" w:type="dxa"/>
            </w:tcMar>
          </w:tcPr>
          <w:p>
            <w:r>
              <w:rPr>
                <w:sz w:val="18"/>
              </w:rPr>
              <w:t>Pause actor, revoke local capability, isolate memory/workflow</w:t>
            </w:r>
          </w:p>
        </w:tc>
      </w:tr>
      <w:tr>
        <w:tc>
          <w:tcPr>
            <w:tcW w:type="dxa" w:w="1584"/>
            <w:vAlign w:val="center"/>
            <w:tcMar>
              <w:top w:w="100" w:type="dxa"/>
              <w:start w:w="120" w:type="dxa"/>
              <w:bottom w:w="100" w:type="dxa"/>
              <w:end w:w="120" w:type="dxa"/>
            </w:tcMar>
            <w:shd w:fill="F1F5F8"/>
          </w:tcPr>
          <w:p>
            <w:r>
              <w:rPr>
                <w:sz w:val="18"/>
              </w:rPr>
              <w:t>Recovering</w:t>
            </w:r>
          </w:p>
        </w:tc>
        <w:tc>
          <w:tcPr>
            <w:tcW w:type="dxa" w:w="4896"/>
            <w:vAlign w:val="center"/>
            <w:tcMar>
              <w:top w:w="100" w:type="dxa"/>
              <w:start w:w="120" w:type="dxa"/>
              <w:bottom w:w="100" w:type="dxa"/>
              <w:end w:w="120" w:type="dxa"/>
            </w:tcMar>
            <w:shd w:fill="F1F5F8"/>
          </w:tcPr>
          <w:p>
            <w:r>
              <w:rPr>
                <w:sz w:val="18"/>
              </w:rPr>
              <w:t>Remediation has occurred and clean evidence is being accumulated</w:t>
            </w:r>
          </w:p>
        </w:tc>
        <w:tc>
          <w:tcPr>
            <w:tcW w:type="dxa" w:w="3456"/>
            <w:vAlign w:val="center"/>
            <w:tcMar>
              <w:top w:w="100" w:type="dxa"/>
              <w:start w:w="120" w:type="dxa"/>
              <w:bottom w:w="100" w:type="dxa"/>
              <w:end w:w="120" w:type="dxa"/>
            </w:tcMar>
            <w:shd w:fill="F1F5F8"/>
          </w:tcPr>
          <w:p>
            <w:r>
              <w:rPr>
                <w:sz w:val="18"/>
              </w:rPr>
              <w:t>Restricted operation or sandbox replay</w:t>
            </w:r>
          </w:p>
        </w:tc>
      </w:tr>
      <w:tr>
        <w:tc>
          <w:tcPr>
            <w:tcW w:type="dxa" w:w="1584"/>
            <w:vAlign w:val="center"/>
            <w:tcMar>
              <w:top w:w="100" w:type="dxa"/>
              <w:start w:w="120" w:type="dxa"/>
              <w:bottom w:w="100" w:type="dxa"/>
              <w:end w:w="120" w:type="dxa"/>
            </w:tcMar>
          </w:tcPr>
          <w:p>
            <w:r>
              <w:rPr>
                <w:sz w:val="18"/>
              </w:rPr>
              <w:t>Recovered</w:t>
            </w:r>
          </w:p>
        </w:tc>
        <w:tc>
          <w:tcPr>
            <w:tcW w:type="dxa" w:w="4896"/>
            <w:vAlign w:val="center"/>
            <w:tcMar>
              <w:top w:w="100" w:type="dxa"/>
              <w:start w:w="120" w:type="dxa"/>
              <w:bottom w:w="100" w:type="dxa"/>
              <w:end w:w="120" w:type="dxa"/>
            </w:tcMar>
          </w:tcPr>
          <w:p>
            <w:r>
              <w:rPr>
                <w:sz w:val="18"/>
              </w:rPr>
              <w:t>Recovery criteria met</w:t>
            </w:r>
          </w:p>
        </w:tc>
        <w:tc>
          <w:tcPr>
            <w:tcW w:type="dxa" w:w="3456"/>
            <w:vAlign w:val="center"/>
            <w:tcMar>
              <w:top w:w="100" w:type="dxa"/>
              <w:start w:w="120" w:type="dxa"/>
              <w:bottom w:w="100" w:type="dxa"/>
              <w:end w:w="120" w:type="dxa"/>
            </w:tcMar>
          </w:tcPr>
          <w:p>
            <w:r>
              <w:rPr>
                <w:sz w:val="18"/>
              </w:rPr>
              <w:t>Gradual capability restoration</w:t>
            </w:r>
          </w:p>
        </w:tc>
      </w:tr>
    </w:tbl>
    <w:p/>
    <w:p>
      <w:pPr>
        <w:pStyle w:val="Heading2"/>
      </w:pPr>
      <w:r>
        <w:t>4.6 Threat and failure model</w:t>
      </w:r>
    </w:p>
    <w:p>
      <w:pPr>
        <w:pStyle w:val="ListBullet"/>
      </w:pPr>
      <w:r>
        <w:t>Compromised or malicious autonomous actor.</w:t>
      </w:r>
    </w:p>
    <w:p>
      <w:pPr>
        <w:pStyle w:val="ListBullet"/>
      </w:pPr>
      <w:r>
        <w:t>Compromised observer using a valid identity.</w:t>
      </w:r>
    </w:p>
    <w:p>
      <w:pPr>
        <w:pStyle w:val="ListBullet"/>
      </w:pPr>
      <w:r>
        <w:t>Forged observer or subject identity.</w:t>
      </w:r>
    </w:p>
    <w:p>
      <w:pPr>
        <w:pStyle w:val="ListBullet"/>
      </w:pPr>
      <w:r>
        <w:t>Replayed, duplicated, reordered, delayed, truncated, or tampered messages.</w:t>
      </w:r>
    </w:p>
    <w:p>
      <w:pPr>
        <w:pStyle w:val="ListBullet"/>
      </w:pPr>
      <w:r>
        <w:t>Observation poisoning, exaggeration, omission, selective suppression, and false accusation.</w:t>
      </w:r>
    </w:p>
    <w:p>
      <w:pPr>
        <w:pStyle w:val="ListBullet"/>
      </w:pPr>
      <w:r>
        <w:t>Sybil observers and colluding trust domains.</w:t>
      </w:r>
    </w:p>
    <w:p>
      <w:pPr>
        <w:pStyle w:val="ListBullet"/>
      </w:pPr>
      <w:r>
        <w:t>Credential theft, downgrade attacks, key compromise, and stale attestation.</w:t>
      </w:r>
    </w:p>
    <w:p>
      <w:pPr>
        <w:pStyle w:val="ListBullet"/>
      </w:pPr>
      <w:r>
        <w:t>Clock skew and inconsistent expiration decisions.</w:t>
      </w:r>
    </w:p>
    <w:p>
      <w:pPr>
        <w:pStyle w:val="ListBullet"/>
      </w:pPr>
      <w:r>
        <w:t>Network partitions, asymmetric reachability, dropped traffic, node crash, pause, or restart.</w:t>
      </w:r>
    </w:p>
    <w:p>
      <w:pPr>
        <w:pStyle w:val="ListBullet"/>
      </w:pPr>
      <w:r>
        <w:t>Evidence-store outage or evidence unavailability.</w:t>
      </w:r>
    </w:p>
    <w:p>
      <w:pPr>
        <w:pStyle w:val="ListBullet"/>
      </w:pPr>
      <w:r>
        <w:t>Denial of service through observation flooding, challenge amplification, or expensive validation.</w:t>
      </w:r>
    </w:p>
    <w:p>
      <w:pPr>
        <w:pStyle w:val="ListBullet"/>
      </w:pPr>
      <w:r>
        <w:t>Memory poisoning, indirect prompt injection, tool misuse, unauthorized delegation, and privilege accumulation.</w:t>
      </w:r>
    </w:p>
    <w:p>
      <w:pPr>
        <w:pStyle w:val="Heading2"/>
      </w:pPr>
      <w:r>
        <w:t>4.7 Required defensive properties</w:t>
      </w:r>
    </w:p>
    <w:p>
      <w:pPr>
        <w:pStyle w:val="ListBullet"/>
      </w:pPr>
      <w:r>
        <w:t>Cryptographic identity and message integrity.</w:t>
      </w:r>
    </w:p>
    <w:p>
      <w:pPr>
        <w:pStyle w:val="ListBullet"/>
      </w:pPr>
      <w:r>
        <w:t>Scope-limited authority.</w:t>
      </w:r>
    </w:p>
    <w:p>
      <w:pPr>
        <w:pStyle w:val="ListBullet"/>
      </w:pPr>
      <w:r>
        <w:t>Freshness, sequence, nonce, and duplicate checks.</w:t>
      </w:r>
    </w:p>
    <w:p>
      <w:pPr>
        <w:pStyle w:val="ListBullet"/>
      </w:pPr>
      <w:r>
        <w:t>Trust-domain-aware corroboration rather than raw node counting.</w:t>
      </w:r>
    </w:p>
    <w:p>
      <w:pPr>
        <w:pStyle w:val="ListBullet"/>
      </w:pPr>
      <w:r>
        <w:t>Local observer reliability models that are context-specific and time-decayed.</w:t>
      </w:r>
    </w:p>
    <w:p>
      <w:pPr>
        <w:pStyle w:val="ListBullet"/>
      </w:pPr>
      <w:r>
        <w:t>Rate limits and bounded propagation.</w:t>
      </w:r>
    </w:p>
    <w:p>
      <w:pPr>
        <w:pStyle w:val="ListBullet"/>
      </w:pPr>
      <w:r>
        <w:t>Evidence hashes and provenance chains.</w:t>
      </w:r>
    </w:p>
    <w:p>
      <w:pPr>
        <w:pStyle w:val="ListBullet"/>
      </w:pPr>
      <w:r>
        <w:t>Explicit missing-telemetry state.</w:t>
      </w:r>
    </w:p>
    <w:p>
      <w:pPr>
        <w:pStyle w:val="ListBullet"/>
      </w:pPr>
      <w:r>
        <w:t>Challenge-response for disputed or high-impact claims.</w:t>
      </w:r>
    </w:p>
    <w:p>
      <w:pPr>
        <w:pStyle w:val="ListBullet"/>
      </w:pPr>
      <w:r>
        <w:t>Recovery gates such as fresh attestation, clean replay, credential rotation, trusted checkpoint restoration, or human approval.</w:t>
      </w:r>
    </w:p>
    <w:p>
      <w:pPr>
        <w:pStyle w:val="Heading1"/>
      </w:pPr>
      <w:r>
        <w:t>5. OATP: Protocol Specification</w:t>
      </w:r>
    </w:p>
    <w:p>
      <w:pPr>
        <w:pStyle w:val="Heading2"/>
      </w:pPr>
      <w:r>
        <w:t>5.1 Protocol purpose</w:t>
      </w:r>
    </w:p>
    <w:p>
      <w:r>
        <w:t>OATP defines how runtime trust observations and supporting protocol messages are represented, authenticated, exchanged, challenged, synchronized, and expired. It does not define the local trust algorithm.</w:t>
      </w:r>
    </w:p>
    <w:p>
      <w:pPr>
        <w:pStyle w:val="Heading2"/>
      </w:pPr>
      <w:r>
        <w:t>5.2 Protocol entities</w:t>
      </w:r>
    </w:p>
    <w:p>
      <w:pPr>
        <w:pStyle w:val="ListBullet"/>
      </w:pPr>
      <w:r>
        <w:t>Observer</w:t>
      </w:r>
    </w:p>
    <w:p>
      <w:pPr>
        <w:pStyle w:val="ListBullet"/>
      </w:pPr>
      <w:r>
        <w:t>Subject</w:t>
      </w:r>
    </w:p>
    <w:p>
      <w:pPr>
        <w:pStyle w:val="ListBullet"/>
      </w:pPr>
      <w:r>
        <w:t>Trust node</w:t>
      </w:r>
    </w:p>
    <w:p>
      <w:pPr>
        <w:pStyle w:val="ListBullet"/>
      </w:pPr>
      <w:r>
        <w:t>Evidence store</w:t>
      </w:r>
    </w:p>
    <w:p>
      <w:pPr>
        <w:pStyle w:val="ListBullet"/>
      </w:pPr>
      <w:r>
        <w:t>Identity provider</w:t>
      </w:r>
    </w:p>
    <w:p>
      <w:pPr>
        <w:pStyle w:val="ListBullet"/>
      </w:pPr>
      <w:r>
        <w:t>Attestation service</w:t>
      </w:r>
    </w:p>
    <w:p>
      <w:pPr>
        <w:pStyle w:val="ListBullet"/>
      </w:pPr>
      <w:r>
        <w:t>Policy engine (optional)</w:t>
      </w:r>
    </w:p>
    <w:p>
      <w:pPr>
        <w:pStyle w:val="ListBullet"/>
      </w:pPr>
      <w:r>
        <w:t>Telemetry collector or transport adapter</w:t>
      </w:r>
    </w:p>
    <w:p>
      <w:pPr>
        <w:pStyle w:val="ListBullet"/>
      </w:pPr>
      <w:r>
        <w:t>Response adapter</w:t>
      </w:r>
    </w:p>
    <w:p>
      <w:pPr>
        <w:pStyle w:val="Heading2"/>
      </w:pPr>
      <w:r>
        <w:t>5.3 Message classes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83B56"/>
            <w:vAlign w:val="center"/>
            <w:tcMar>
              <w:top w:w="100" w:type="dxa"/>
              <w:start w:w="120" w:type="dxa"/>
              <w:bottom w:w="100" w:type="dxa"/>
              <w:end w:w="120" w:type="dxa"/>
            </w:tcMar>
          </w:tcPr>
          <w:p>
            <w:pPr>
              <w:jc w:val="center"/>
            </w:pPr>
            <w:r>
              <w:rPr>
                <w:b/>
                <w:color w:val="FFFFFF"/>
                <w:sz w:val="18"/>
              </w:rPr>
              <w:t>Message</w:t>
            </w:r>
          </w:p>
        </w:tc>
        <w:tc>
          <w:tcPr>
            <w:tcW w:type="dxa" w:w="4464"/>
            <w:shd w:fill="183B56"/>
            <w:vAlign w:val="center"/>
            <w:tcMar>
              <w:top w:w="100" w:type="dxa"/>
              <w:start w:w="120" w:type="dxa"/>
              <w:bottom w:w="100" w:type="dxa"/>
              <w:end w:w="120" w:type="dxa"/>
            </w:tcMar>
          </w:tcPr>
          <w:p>
            <w:pPr>
              <w:jc w:val="center"/>
            </w:pPr>
            <w:r>
              <w:rPr>
                <w:b/>
                <w:color w:val="FFFFFF"/>
                <w:sz w:val="18"/>
              </w:rPr>
              <w:t>Purpose</w:t>
            </w:r>
          </w:p>
        </w:tc>
        <w:tc>
          <w:tcPr>
            <w:tcW w:type="dxa" w:w="3024"/>
            <w:shd w:fill="183B56"/>
            <w:vAlign w:val="center"/>
            <w:tcMar>
              <w:top w:w="100" w:type="dxa"/>
              <w:start w:w="120" w:type="dxa"/>
              <w:bottom w:w="100" w:type="dxa"/>
              <w:end w:w="120" w:type="dxa"/>
            </w:tcMar>
          </w:tcPr>
          <w:p>
            <w:pPr>
              <w:jc w:val="center"/>
            </w:pPr>
            <w:r>
              <w:rPr>
                <w:b/>
                <w:color w:val="FFFFFF"/>
                <w:sz w:val="18"/>
              </w:rPr>
              <w:t>Propagation guidance</w:t>
            </w:r>
          </w:p>
        </w:tc>
      </w:tr>
      <w:tr>
        <w:tc>
          <w:tcPr>
            <w:tcW w:type="dxa" w:w="2160"/>
            <w:vAlign w:val="center"/>
            <w:tcMar>
              <w:top w:w="100" w:type="dxa"/>
              <w:start w:w="120" w:type="dxa"/>
              <w:bottom w:w="100" w:type="dxa"/>
              <w:end w:w="120" w:type="dxa"/>
            </w:tcMar>
          </w:tcPr>
          <w:p>
            <w:r>
              <w:rPr>
                <w:sz w:val="18"/>
              </w:rPr>
              <w:t>Observation</w:t>
            </w:r>
          </w:p>
        </w:tc>
        <w:tc>
          <w:tcPr>
            <w:tcW w:type="dxa" w:w="4464"/>
            <w:vAlign w:val="center"/>
            <w:tcMar>
              <w:top w:w="100" w:type="dxa"/>
              <w:start w:w="120" w:type="dxa"/>
              <w:bottom w:w="100" w:type="dxa"/>
              <w:end w:w="120" w:type="dxa"/>
            </w:tcMar>
          </w:tcPr>
          <w:p>
            <w:r>
              <w:rPr>
                <w:sz w:val="18"/>
              </w:rPr>
              <w:t>Report directly witnessed behavior or state</w:t>
            </w:r>
          </w:p>
        </w:tc>
        <w:tc>
          <w:tcPr>
            <w:tcW w:type="dxa" w:w="3024"/>
            <w:vAlign w:val="center"/>
            <w:tcMar>
              <w:top w:w="100" w:type="dxa"/>
              <w:start w:w="120" w:type="dxa"/>
              <w:bottom w:w="100" w:type="dxa"/>
              <w:end w:w="120" w:type="dxa"/>
            </w:tcMar>
          </w:tcPr>
          <w:p>
            <w:r>
              <w:rPr>
                <w:sz w:val="18"/>
              </w:rPr>
              <w:t>Primary shareable object; subject to scope and filtering</w:t>
            </w:r>
          </w:p>
        </w:tc>
      </w:tr>
      <w:tr>
        <w:tc>
          <w:tcPr>
            <w:tcW w:type="dxa" w:w="2160"/>
            <w:vAlign w:val="center"/>
            <w:tcMar>
              <w:top w:w="100" w:type="dxa"/>
              <w:start w:w="120" w:type="dxa"/>
              <w:bottom w:w="100" w:type="dxa"/>
              <w:end w:w="120" w:type="dxa"/>
            </w:tcMar>
            <w:shd w:fill="F1F5F8"/>
          </w:tcPr>
          <w:p>
            <w:r>
              <w:rPr>
                <w:sz w:val="18"/>
              </w:rPr>
              <w:t>Assertion</w:t>
            </w:r>
          </w:p>
        </w:tc>
        <w:tc>
          <w:tcPr>
            <w:tcW w:type="dxa" w:w="4464"/>
            <w:vAlign w:val="center"/>
            <w:tcMar>
              <w:top w:w="100" w:type="dxa"/>
              <w:start w:w="120" w:type="dxa"/>
              <w:bottom w:w="100" w:type="dxa"/>
              <w:end w:w="120" w:type="dxa"/>
            </w:tcMar>
            <w:shd w:fill="F1F5F8"/>
          </w:tcPr>
          <w:p>
            <w:r>
              <w:rPr>
                <w:sz w:val="18"/>
              </w:rPr>
              <w:t>Optional derived interpretation with source observations</w:t>
            </w:r>
          </w:p>
        </w:tc>
        <w:tc>
          <w:tcPr>
            <w:tcW w:type="dxa" w:w="3024"/>
            <w:vAlign w:val="center"/>
            <w:tcMar>
              <w:top w:w="100" w:type="dxa"/>
              <w:start w:w="120" w:type="dxa"/>
              <w:bottom w:w="100" w:type="dxa"/>
              <w:end w:w="120" w:type="dxa"/>
            </w:tcMar>
            <w:shd w:fill="F1F5F8"/>
          </w:tcPr>
          <w:p>
            <w:r>
              <w:rPr>
                <w:sz w:val="18"/>
              </w:rPr>
              <w:t>Share cautiously; never binding</w:t>
            </w:r>
          </w:p>
        </w:tc>
      </w:tr>
      <w:tr>
        <w:tc>
          <w:tcPr>
            <w:tcW w:type="dxa" w:w="2160"/>
            <w:vAlign w:val="center"/>
            <w:tcMar>
              <w:top w:w="100" w:type="dxa"/>
              <w:start w:w="120" w:type="dxa"/>
              <w:bottom w:w="100" w:type="dxa"/>
              <w:end w:w="120" w:type="dxa"/>
            </w:tcMar>
          </w:tcPr>
          <w:p>
            <w:r>
              <w:rPr>
                <w:sz w:val="18"/>
              </w:rPr>
              <w:t>Acknowledgement</w:t>
            </w:r>
          </w:p>
        </w:tc>
        <w:tc>
          <w:tcPr>
            <w:tcW w:type="dxa" w:w="4464"/>
            <w:vAlign w:val="center"/>
            <w:tcMar>
              <w:top w:w="100" w:type="dxa"/>
              <w:start w:w="120" w:type="dxa"/>
              <w:bottom w:w="100" w:type="dxa"/>
              <w:end w:w="120" w:type="dxa"/>
            </w:tcMar>
          </w:tcPr>
          <w:p>
            <w:r>
              <w:rPr>
                <w:sz w:val="18"/>
              </w:rPr>
              <w:t>Confirm receipt and validation status</w:t>
            </w:r>
          </w:p>
        </w:tc>
        <w:tc>
          <w:tcPr>
            <w:tcW w:type="dxa" w:w="3024"/>
            <w:vAlign w:val="center"/>
            <w:tcMar>
              <w:top w:w="100" w:type="dxa"/>
              <w:start w:w="120" w:type="dxa"/>
              <w:bottom w:w="100" w:type="dxa"/>
              <w:end w:w="120" w:type="dxa"/>
            </w:tcMar>
          </w:tcPr>
          <w:p>
            <w:r>
              <w:rPr>
                <w:sz w:val="18"/>
              </w:rPr>
              <w:t>Point-to-point</w:t>
            </w:r>
          </w:p>
        </w:tc>
      </w:tr>
      <w:tr>
        <w:tc>
          <w:tcPr>
            <w:tcW w:type="dxa" w:w="2160"/>
            <w:vAlign w:val="center"/>
            <w:tcMar>
              <w:top w:w="100" w:type="dxa"/>
              <w:start w:w="120" w:type="dxa"/>
              <w:bottom w:w="100" w:type="dxa"/>
              <w:end w:w="120" w:type="dxa"/>
            </w:tcMar>
            <w:shd w:fill="F1F5F8"/>
          </w:tcPr>
          <w:p>
            <w:r>
              <w:rPr>
                <w:sz w:val="18"/>
              </w:rPr>
              <w:t>Observation request</w:t>
            </w:r>
          </w:p>
        </w:tc>
        <w:tc>
          <w:tcPr>
            <w:tcW w:type="dxa" w:w="4464"/>
            <w:vAlign w:val="center"/>
            <w:tcMar>
              <w:top w:w="100" w:type="dxa"/>
              <w:start w:w="120" w:type="dxa"/>
              <w:bottom w:w="100" w:type="dxa"/>
              <w:end w:w="120" w:type="dxa"/>
            </w:tcMar>
            <w:shd w:fill="F1F5F8"/>
          </w:tcPr>
          <w:p>
            <w:r>
              <w:rPr>
                <w:sz w:val="18"/>
              </w:rPr>
              <w:t>Request missing or newer observations</w:t>
            </w:r>
          </w:p>
        </w:tc>
        <w:tc>
          <w:tcPr>
            <w:tcW w:type="dxa" w:w="3024"/>
            <w:vAlign w:val="center"/>
            <w:tcMar>
              <w:top w:w="100" w:type="dxa"/>
              <w:start w:w="120" w:type="dxa"/>
              <w:bottom w:w="100" w:type="dxa"/>
              <w:end w:w="120" w:type="dxa"/>
            </w:tcMar>
            <w:shd w:fill="F1F5F8"/>
          </w:tcPr>
          <w:p>
            <w:r>
              <w:rPr>
                <w:sz w:val="18"/>
              </w:rPr>
              <w:t>Point-to-point or scoped multicast</w:t>
            </w:r>
          </w:p>
        </w:tc>
      </w:tr>
      <w:tr>
        <w:tc>
          <w:tcPr>
            <w:tcW w:type="dxa" w:w="2160"/>
            <w:vAlign w:val="center"/>
            <w:tcMar>
              <w:top w:w="100" w:type="dxa"/>
              <w:start w:w="120" w:type="dxa"/>
              <w:bottom w:w="100" w:type="dxa"/>
              <w:end w:w="120" w:type="dxa"/>
            </w:tcMar>
          </w:tcPr>
          <w:p>
            <w:r>
              <w:rPr>
                <w:sz w:val="18"/>
              </w:rPr>
              <w:t>Evidence request/response</w:t>
            </w:r>
          </w:p>
        </w:tc>
        <w:tc>
          <w:tcPr>
            <w:tcW w:type="dxa" w:w="4464"/>
            <w:vAlign w:val="center"/>
            <w:tcMar>
              <w:top w:w="100" w:type="dxa"/>
              <w:start w:w="120" w:type="dxa"/>
              <w:bottom w:w="100" w:type="dxa"/>
              <w:end w:w="120" w:type="dxa"/>
            </w:tcMar>
          </w:tcPr>
          <w:p>
            <w:r>
              <w:rPr>
                <w:sz w:val="18"/>
              </w:rPr>
              <w:t>Resolve evidence supporting a claim</w:t>
            </w:r>
          </w:p>
        </w:tc>
        <w:tc>
          <w:tcPr>
            <w:tcW w:type="dxa" w:w="3024"/>
            <w:vAlign w:val="center"/>
            <w:tcMar>
              <w:top w:w="100" w:type="dxa"/>
              <w:start w:w="120" w:type="dxa"/>
              <w:bottom w:w="100" w:type="dxa"/>
              <w:end w:w="120" w:type="dxa"/>
            </w:tcMar>
          </w:tcPr>
          <w:p>
            <w:r>
              <w:rPr>
                <w:sz w:val="18"/>
              </w:rPr>
              <w:t>Access-controlled and privacy-aware</w:t>
            </w:r>
          </w:p>
        </w:tc>
      </w:tr>
      <w:tr>
        <w:tc>
          <w:tcPr>
            <w:tcW w:type="dxa" w:w="2160"/>
            <w:vAlign w:val="center"/>
            <w:tcMar>
              <w:top w:w="100" w:type="dxa"/>
              <w:start w:w="120" w:type="dxa"/>
              <w:bottom w:w="100" w:type="dxa"/>
              <w:end w:w="120" w:type="dxa"/>
            </w:tcMar>
            <w:shd w:fill="F1F5F8"/>
          </w:tcPr>
          <w:p>
            <w:r>
              <w:rPr>
                <w:sz w:val="18"/>
              </w:rPr>
              <w:t>Challenge/response</w:t>
            </w:r>
          </w:p>
        </w:tc>
        <w:tc>
          <w:tcPr>
            <w:tcW w:type="dxa" w:w="4464"/>
            <w:vAlign w:val="center"/>
            <w:tcMar>
              <w:top w:w="100" w:type="dxa"/>
              <w:start w:w="120" w:type="dxa"/>
              <w:bottom w:w="100" w:type="dxa"/>
              <w:end w:w="120" w:type="dxa"/>
            </w:tcMar>
            <w:shd w:fill="F1F5F8"/>
          </w:tcPr>
          <w:p>
            <w:r>
              <w:rPr>
                <w:sz w:val="18"/>
              </w:rPr>
              <w:t>Verify freshness, possession, integrity, or disputed claim</w:t>
            </w:r>
          </w:p>
        </w:tc>
        <w:tc>
          <w:tcPr>
            <w:tcW w:type="dxa" w:w="3024"/>
            <w:vAlign w:val="center"/>
            <w:tcMar>
              <w:top w:w="100" w:type="dxa"/>
              <w:start w:w="120" w:type="dxa"/>
              <w:bottom w:w="100" w:type="dxa"/>
              <w:end w:w="120" w:type="dxa"/>
            </w:tcMar>
            <w:shd w:fill="F1F5F8"/>
          </w:tcPr>
          <w:p>
            <w:r>
              <w:rPr>
                <w:sz w:val="18"/>
              </w:rPr>
              <w:t>Point-to-point</w:t>
            </w:r>
          </w:p>
        </w:tc>
      </w:tr>
      <w:tr>
        <w:tc>
          <w:tcPr>
            <w:tcW w:type="dxa" w:w="2160"/>
            <w:vAlign w:val="center"/>
            <w:tcMar>
              <w:top w:w="100" w:type="dxa"/>
              <w:start w:w="120" w:type="dxa"/>
              <w:bottom w:w="100" w:type="dxa"/>
              <w:end w:w="120" w:type="dxa"/>
            </w:tcMar>
          </w:tcPr>
          <w:p>
            <w:r>
              <w:rPr>
                <w:sz w:val="18"/>
              </w:rPr>
              <w:t>Heartbeat/lease</w:t>
            </w:r>
          </w:p>
        </w:tc>
        <w:tc>
          <w:tcPr>
            <w:tcW w:type="dxa" w:w="4464"/>
            <w:vAlign w:val="center"/>
            <w:tcMar>
              <w:top w:w="100" w:type="dxa"/>
              <w:start w:w="120" w:type="dxa"/>
              <w:bottom w:w="100" w:type="dxa"/>
              <w:end w:w="120" w:type="dxa"/>
            </w:tcMar>
          </w:tcPr>
          <w:p>
            <w:r>
              <w:rPr>
                <w:sz w:val="18"/>
              </w:rPr>
              <w:t>Advertise liveness, capabilities, version and sequence position</w:t>
            </w:r>
          </w:p>
        </w:tc>
        <w:tc>
          <w:tcPr>
            <w:tcW w:type="dxa" w:w="3024"/>
            <w:vAlign w:val="center"/>
            <w:tcMar>
              <w:top w:w="100" w:type="dxa"/>
              <w:start w:w="120" w:type="dxa"/>
              <w:bottom w:w="100" w:type="dxa"/>
              <w:end w:w="120" w:type="dxa"/>
            </w:tcMar>
          </w:tcPr>
          <w:p>
            <w:r>
              <w:rPr>
                <w:sz w:val="18"/>
              </w:rPr>
              <w:t>Scoped; silence is not health</w:t>
            </w:r>
          </w:p>
        </w:tc>
      </w:tr>
      <w:tr>
        <w:tc>
          <w:tcPr>
            <w:tcW w:type="dxa" w:w="2160"/>
            <w:vAlign w:val="center"/>
            <w:tcMar>
              <w:top w:w="100" w:type="dxa"/>
              <w:start w:w="120" w:type="dxa"/>
              <w:bottom w:w="100" w:type="dxa"/>
              <w:end w:w="120" w:type="dxa"/>
            </w:tcMar>
            <w:shd w:fill="F1F5F8"/>
          </w:tcPr>
          <w:p>
            <w:r>
              <w:rPr>
                <w:sz w:val="18"/>
              </w:rPr>
              <w:t>Capability advertisement</w:t>
            </w:r>
          </w:p>
        </w:tc>
        <w:tc>
          <w:tcPr>
            <w:tcW w:type="dxa" w:w="4464"/>
            <w:vAlign w:val="center"/>
            <w:tcMar>
              <w:top w:w="100" w:type="dxa"/>
              <w:start w:w="120" w:type="dxa"/>
              <w:bottom w:w="100" w:type="dxa"/>
              <w:end w:w="120" w:type="dxa"/>
            </w:tcMar>
            <w:shd w:fill="F1F5F8"/>
          </w:tcPr>
          <w:p>
            <w:r>
              <w:rPr>
                <w:sz w:val="18"/>
              </w:rPr>
              <w:t>Declare supported schemas, profiles, transports or evidence types</w:t>
            </w:r>
          </w:p>
        </w:tc>
        <w:tc>
          <w:tcPr>
            <w:tcW w:type="dxa" w:w="3024"/>
            <w:vAlign w:val="center"/>
            <w:tcMar>
              <w:top w:w="100" w:type="dxa"/>
              <w:start w:w="120" w:type="dxa"/>
              <w:bottom w:w="100" w:type="dxa"/>
              <w:end w:w="120" w:type="dxa"/>
            </w:tcMar>
            <w:shd w:fill="F1F5F8"/>
          </w:tcPr>
          <w:p>
            <w:r>
              <w:rPr>
                <w:sz w:val="18"/>
              </w:rPr>
              <w:t>Discovery only</w:t>
            </w:r>
          </w:p>
        </w:tc>
      </w:tr>
      <w:tr>
        <w:tc>
          <w:tcPr>
            <w:tcW w:type="dxa" w:w="2160"/>
            <w:vAlign w:val="center"/>
            <w:tcMar>
              <w:top w:w="100" w:type="dxa"/>
              <w:start w:w="120" w:type="dxa"/>
              <w:bottom w:w="100" w:type="dxa"/>
              <w:end w:w="120" w:type="dxa"/>
            </w:tcMar>
          </w:tcPr>
          <w:p>
            <w:r>
              <w:rPr>
                <w:sz w:val="18"/>
              </w:rPr>
              <w:t>Synchronization request/response</w:t>
            </w:r>
          </w:p>
        </w:tc>
        <w:tc>
          <w:tcPr>
            <w:tcW w:type="dxa" w:w="4464"/>
            <w:vAlign w:val="center"/>
            <w:tcMar>
              <w:top w:w="100" w:type="dxa"/>
              <w:start w:w="120" w:type="dxa"/>
              <w:bottom w:w="100" w:type="dxa"/>
              <w:end w:w="120" w:type="dxa"/>
            </w:tcMar>
          </w:tcPr>
          <w:p>
            <w:r>
              <w:rPr>
                <w:sz w:val="18"/>
              </w:rPr>
              <w:t>Recover gaps after reconnect or partition</w:t>
            </w:r>
          </w:p>
        </w:tc>
        <w:tc>
          <w:tcPr>
            <w:tcW w:type="dxa" w:w="3024"/>
            <w:vAlign w:val="center"/>
            <w:tcMar>
              <w:top w:w="100" w:type="dxa"/>
              <w:start w:w="120" w:type="dxa"/>
              <w:bottom w:w="100" w:type="dxa"/>
              <w:end w:w="120" w:type="dxa"/>
            </w:tcMar>
          </w:tcPr>
          <w:p>
            <w:r>
              <w:rPr>
                <w:sz w:val="18"/>
              </w:rPr>
              <w:t>Bounded by tenant, subject, time and sequence</w:t>
            </w:r>
          </w:p>
        </w:tc>
      </w:tr>
      <w:tr>
        <w:tc>
          <w:tcPr>
            <w:tcW w:type="dxa" w:w="2160"/>
            <w:vAlign w:val="center"/>
            <w:tcMar>
              <w:top w:w="100" w:type="dxa"/>
              <w:start w:w="120" w:type="dxa"/>
              <w:bottom w:w="100" w:type="dxa"/>
              <w:end w:w="120" w:type="dxa"/>
            </w:tcMar>
            <w:shd w:fill="F1F5F8"/>
          </w:tcPr>
          <w:p>
            <w:r>
              <w:rPr>
                <w:sz w:val="18"/>
              </w:rPr>
              <w:t>Protocol error</w:t>
            </w:r>
          </w:p>
        </w:tc>
        <w:tc>
          <w:tcPr>
            <w:tcW w:type="dxa" w:w="4464"/>
            <w:vAlign w:val="center"/>
            <w:tcMar>
              <w:top w:w="100" w:type="dxa"/>
              <w:start w:w="120" w:type="dxa"/>
              <w:bottom w:w="100" w:type="dxa"/>
              <w:end w:w="120" w:type="dxa"/>
            </w:tcMar>
            <w:shd w:fill="F1F5F8"/>
          </w:tcPr>
          <w:p>
            <w:r>
              <w:rPr>
                <w:sz w:val="18"/>
              </w:rPr>
              <w:t>Report validation or compatibility failure</w:t>
            </w:r>
          </w:p>
        </w:tc>
        <w:tc>
          <w:tcPr>
            <w:tcW w:type="dxa" w:w="3024"/>
            <w:vAlign w:val="center"/>
            <w:tcMar>
              <w:top w:w="100" w:type="dxa"/>
              <w:start w:w="120" w:type="dxa"/>
              <w:bottom w:w="100" w:type="dxa"/>
              <w:end w:w="120" w:type="dxa"/>
            </w:tcMar>
            <w:shd w:fill="F1F5F8"/>
          </w:tcPr>
          <w:p>
            <w:r>
              <w:rPr>
                <w:sz w:val="18"/>
              </w:rPr>
              <w:t>Must avoid reflecting sensitive content</w:t>
            </w:r>
          </w:p>
        </w:tc>
      </w:tr>
    </w:tbl>
    <w:p/>
    <w:p>
      <w:pPr>
        <w:pStyle w:val="Heading2"/>
      </w:pPr>
      <w:r>
        <w:t>5.4 Observation envelope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w:t>
              <w:br/>
              <w:t xml:space="preserve">  "protocol_version": "0.1",</w:t>
              <w:br/>
              <w:t xml:space="preserve">  "message_type": "observation",</w:t>
              <w:br/>
              <w:t xml:space="preserve">  "observation_id": "uuid-or-content-id",</w:t>
              <w:br/>
              <w:t xml:space="preserve">  "observer": {"id": "...", "trust_domain": "...", "key_id": "..."},</w:t>
              <w:br/>
              <w:t xml:space="preserve">  "subject": {"id": "...", "type": "agent|memory|tool|credential|workflow|observer|resource"},</w:t>
              <w:br/>
              <w:t xml:space="preserve">  "observation_type": "tool.invocation",</w:t>
              <w:br/>
              <w:t xml:space="preserve">  "scope": ["tool:crm/read"],</w:t>
              <w:br/>
              <w:t xml:space="preserve">  "sequence_number": 1042,</w:t>
              <w:br/>
              <w:t xml:space="preserve">  "observed_at": "RFC3339 timestamp",</w:t>
              <w:br/>
              <w:t xml:space="preserve">  "issued_at": "RFC3339 timestamp",</w:t>
              <w:br/>
              <w:t xml:space="preserve">  "expires_at": "RFC3339 timestamp",</w:t>
              <w:br/>
              <w:t xml:space="preserve">  "confidence": 0.87,</w:t>
              <w:br/>
              <w:t xml:space="preserve">  "severity": "informational|low|medium|high|critical",</w:t>
              <w:br/>
              <w:t xml:space="preserve">  "evidence": [{"type": "trace_hash", "digest": "...", "locator": "optional"}],</w:t>
              <w:br/>
              <w:t xml:space="preserve">  "correlation_id": "optional",</w:t>
              <w:br/>
              <w:t xml:space="preserve">  "workflow_id": "optional",</w:t>
              <w:br/>
              <w:t xml:space="preserve">  "parent_observations": ["optional IDs"],</w:t>
              <w:br/>
              <w:t xml:space="preserve">  "metadata": {},</w:t>
              <w:br/>
              <w:t xml:space="preserve">  "signature": {"algorithm": "...", "value": "..."}</w:t>
              <w:br/>
              <w:t>}</w:t>
            </w:r>
          </w:p>
        </w:tc>
      </w:tr>
    </w:tbl>
    <w:p/>
    <w:p>
      <w:pPr>
        <w:pStyle w:val="Heading2"/>
      </w:pPr>
      <w:r>
        <w:t>5.5 Required validation order</w:t>
      </w:r>
    </w:p>
    <w:p>
      <w:pPr>
        <w:pStyle w:val="ListNumber"/>
      </w:pPr>
      <w:r>
        <w:t>Parse using strict limits for message size, nesting, field count, and metadata volume.</w:t>
      </w:r>
    </w:p>
    <w:p>
      <w:pPr>
        <w:pStyle w:val="ListNumber"/>
      </w:pPr>
      <w:r>
        <w:t>Validate protocol version and mandatory schema fields.</w:t>
      </w:r>
    </w:p>
    <w:p>
      <w:pPr>
        <w:pStyle w:val="ListNumber"/>
      </w:pPr>
      <w:r>
        <w:t>Resolve observer identity and authorized observation scope.</w:t>
      </w:r>
    </w:p>
    <w:p>
      <w:pPr>
        <w:pStyle w:val="ListNumber"/>
      </w:pPr>
      <w:r>
        <w:t>Verify signature and canonicalized message representation.</w:t>
      </w:r>
    </w:p>
    <w:p>
      <w:pPr>
        <w:pStyle w:val="ListNumber"/>
      </w:pPr>
      <w:r>
        <w:t>Validate timestamps, validity interval, clock-skew allowance, and expiration.</w:t>
      </w:r>
    </w:p>
    <w:p>
      <w:pPr>
        <w:pStyle w:val="ListNumber"/>
      </w:pPr>
      <w:r>
        <w:t>Validate sequence number, nonce or replay window, and duplicate status.</w:t>
      </w:r>
    </w:p>
    <w:p>
      <w:pPr>
        <w:pStyle w:val="ListNumber"/>
      </w:pPr>
      <w:r>
        <w:t>Validate subject and tenant/trust-domain boundaries.</w:t>
      </w:r>
    </w:p>
    <w:p>
      <w:pPr>
        <w:pStyle w:val="ListNumber"/>
      </w:pPr>
      <w:r>
        <w:t>Validate observation type against observer scope and negotiated profile.</w:t>
      </w:r>
    </w:p>
    <w:p>
      <w:pPr>
        <w:pStyle w:val="ListNumber"/>
      </w:pPr>
      <w:r>
        <w:t>Validate evidence references according to local policy and sensitivity.</w:t>
      </w:r>
    </w:p>
    <w:p>
      <w:pPr>
        <w:pStyle w:val="ListNumber"/>
      </w:pPr>
      <w:r>
        <w:t>Commit the immutable observation and expose it to local trust computation.</w:t>
      </w:r>
    </w:p>
    <w:p>
      <w:pPr>
        <w:pStyle w:val="ListNumber"/>
      </w:pPr>
      <w:r>
        <w:t>Emit an acknowledgement or bounded protocol error without leaking protected data.</w:t>
      </w:r>
    </w:p>
    <w:p>
      <w:pPr>
        <w:pStyle w:val="Heading2"/>
      </w:pPr>
      <w:r>
        <w:t>5.6 Observation semantics</w:t>
      </w:r>
    </w:p>
    <w:p>
      <w:pPr>
        <w:pStyle w:val="ListBullet"/>
      </w:pPr>
      <w:r>
        <w:t>Confidence expresses the observer’s confidence that the direct observation is accurate; it is not a global probability of compromise.</w:t>
      </w:r>
    </w:p>
    <w:p>
      <w:pPr>
        <w:pStyle w:val="ListBullet"/>
      </w:pPr>
      <w:r>
        <w:t>Severity describes potential local impact; it does not require a particular response.</w:t>
      </w:r>
    </w:p>
    <w:p>
      <w:pPr>
        <w:pStyle w:val="ListBullet"/>
      </w:pPr>
      <w:r>
        <w:t>Observation types should describe what was witnessed, not label a subject as malicious.</w:t>
      </w:r>
    </w:p>
    <w:p>
      <w:pPr>
        <w:pStyle w:val="ListBullet"/>
      </w:pPr>
      <w:r>
        <w:t>Raw sensitive evidence may remain local. Hashes, signed receipts, provenance, or access-controlled locators may be shared.</w:t>
      </w:r>
    </w:p>
    <w:p>
      <w:pPr>
        <w:pStyle w:val="ListBullet"/>
      </w:pPr>
      <w:r>
        <w:t>Observations are immutable. Corrections create a new observation referencing the prior observation.</w:t>
      </w:r>
    </w:p>
    <w:p>
      <w:pPr>
        <w:pStyle w:val="ListBullet"/>
      </w:pPr>
      <w:r>
        <w:t>Assertions must list their source observations and must not be treated as equivalent to direct observations.</w:t>
      </w:r>
    </w:p>
    <w:p>
      <w:pPr>
        <w:pStyle w:val="ListBullet"/>
      </w:pPr>
      <w:r>
        <w:t>Decisions remain local and are not protocol truth.</w:t>
      </w:r>
    </w:p>
    <w:p>
      <w:pPr>
        <w:pStyle w:val="Heading2"/>
      </w:pPr>
      <w:r>
        <w:t>5.7 Identity, signatures, and attestation</w:t>
      </w:r>
    </w:p>
    <w:p>
      <w:r>
        <w:t>OATP requires verifiable participant identities but remains identity-provider neutral. Implementations may use workload identity, certificates, signed tokens, decentralized identifiers, platform credentials, or other mechanisms that satisfy conformance requirements.</w:t>
      </w:r>
    </w:p>
    <w:p>
      <w:pPr>
        <w:pStyle w:val="ListBullet"/>
      </w:pPr>
      <w:r>
        <w:t>Every signed message identifies the key used and supports rotation and revocation.</w:t>
      </w:r>
    </w:p>
    <w:p>
      <w:pPr>
        <w:pStyle w:val="ListBullet"/>
      </w:pPr>
      <w:r>
        <w:t>Canonical serialization must be specified for each encoding.</w:t>
      </w:r>
    </w:p>
    <w:p>
      <w:pPr>
        <w:pStyle w:val="ListBullet"/>
      </w:pPr>
      <w:r>
        <w:t>Algorithm negotiation must prevent downgrade to weaker or unsupported schemes.</w:t>
      </w:r>
    </w:p>
    <w:p>
      <w:pPr>
        <w:pStyle w:val="ListBullet"/>
      </w:pPr>
      <w:r>
        <w:t>Attestation is optional but recommended for high-impact observers and recovery events.</w:t>
      </w:r>
    </w:p>
    <w:p>
      <w:pPr>
        <w:pStyle w:val="ListBullet"/>
      </w:pPr>
      <w:r>
        <w:t>Valid identity does not imply honest behavior; authenticated compromised observers remain within the threat model.</w:t>
      </w:r>
    </w:p>
    <w:p>
      <w:pPr>
        <w:pStyle w:val="Heading2"/>
      </w:pPr>
      <w:r>
        <w:t>5.8 Replay, ordering, and time</w:t>
      </w:r>
    </w:p>
    <w:p>
      <w:pPr>
        <w:pStyle w:val="ListBullet"/>
      </w:pPr>
      <w:r>
        <w:t>Monotonic sequence numbers are maintained per observer identity and stream or subject scope.</w:t>
      </w:r>
    </w:p>
    <w:p>
      <w:pPr>
        <w:pStyle w:val="ListBullet"/>
      </w:pPr>
      <w:r>
        <w:t>Implementations maintain bounded replay windows and duplicate caches.</w:t>
      </w:r>
    </w:p>
    <w:p>
      <w:pPr>
        <w:pStyle w:val="ListBullet"/>
      </w:pPr>
      <w:r>
        <w:t>Observed time and receipt time are distinct.</w:t>
      </w:r>
    </w:p>
    <w:p>
      <w:pPr>
        <w:pStyle w:val="ListBullet"/>
      </w:pPr>
      <w:r>
        <w:t>Expiration is mandatory; default TTLs should be profile-specific.</w:t>
      </w:r>
    </w:p>
    <w:p>
      <w:pPr>
        <w:pStyle w:val="ListBullet"/>
      </w:pPr>
      <w:r>
        <w:t>Clock-skew handling must be explicit and benchmarked.</w:t>
      </w:r>
    </w:p>
    <w:p>
      <w:pPr>
        <w:pStyle w:val="ListBullet"/>
      </w:pPr>
      <w:r>
        <w:t>After partition recovery, synchronization cannot allow stale state to overwrite a newer accepted observation.</w:t>
      </w:r>
    </w:p>
    <w:p>
      <w:pPr>
        <w:pStyle w:val="Heading2"/>
      </w:pPr>
      <w:r>
        <w:t>5.9 Corroboration and Sybil resistance</w:t>
      </w:r>
    </w:p>
    <w:p>
      <w:r>
        <w:t>The protocol does not define a voting algorithm. It must, however, carry enough identity and trust-domain information for local implementations to distinguish independent evidence from replicated or colluding observations.</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Mandatory rule</w:t>
            </w:r>
          </w:p>
          <w:p>
            <w:pPr>
              <w:spacing w:after="0"/>
            </w:pPr>
            <w:r>
              <w:t>Voting power must never be inferred from raw node count alone.</w:t>
            </w:r>
          </w:p>
        </w:tc>
      </w:tr>
    </w:tbl>
    <w:p/>
    <w:p>
      <w:pPr>
        <w:pStyle w:val="Heading2"/>
      </w:pPr>
      <w:r>
        <w:t>5.10 Propagation and privacy</w:t>
      </w:r>
    </w:p>
    <w:p>
      <w:pPr>
        <w:pStyle w:val="ListBullet"/>
      </w:pPr>
      <w:r>
        <w:t>Propagation must be scoped by tenant, workflow, subject, sensitivity, and local policy.</w:t>
      </w:r>
    </w:p>
    <w:p>
      <w:pPr>
        <w:pStyle w:val="ListBullet"/>
      </w:pPr>
      <w:r>
        <w:t>Implementations should support hop limits, TTLs, rate limits, deduplication, and subscription filters.</w:t>
      </w:r>
    </w:p>
    <w:p>
      <w:pPr>
        <w:pStyle w:val="ListBullet"/>
      </w:pPr>
      <w:r>
        <w:t>Private content should not be included when a digest or signed receipt is sufficient.</w:t>
      </w:r>
    </w:p>
    <w:p>
      <w:pPr>
        <w:pStyle w:val="ListBullet"/>
      </w:pPr>
      <w:r>
        <w:t>Evidence locators must be access-controlled and should not create cross-tenant information leakage.</w:t>
      </w:r>
    </w:p>
    <w:p>
      <w:pPr>
        <w:pStyle w:val="ListBullet"/>
      </w:pPr>
      <w:r>
        <w:t>Unknown optional extensions may be ignored; unknown mandatory semantics must fail closed for that message.</w:t>
      </w:r>
    </w:p>
    <w:p>
      <w:pPr>
        <w:pStyle w:val="Heading2"/>
      </w:pPr>
      <w:r>
        <w:t>5.11 Transport profiles</w:t>
      </w:r>
    </w:p>
    <w:p>
      <w:r>
        <w:t>Core OATP is transport-agnostic. Separate profiles may define mapping to HTTP, gRPC, NATS, Kafka, WebSocket, QUIC, MCP, or future transports. A transport profile must preserve identity, ordering semantics, message integrity, size limits, acknowledgements, error behavior, and conformance expectations.</w:t>
      </w:r>
    </w:p>
    <w:p>
      <w:pPr>
        <w:pStyle w:val="Heading2"/>
      </w:pPr>
      <w:r>
        <w:t>5.12 Versioning</w:t>
      </w:r>
    </w:p>
    <w:p>
      <w:pPr>
        <w:pStyle w:val="ListBullet"/>
      </w:pPr>
      <w:r>
        <w:t>Minor versions add backward-compatible optional fields, observation types, or capabilities.</w:t>
      </w:r>
    </w:p>
    <w:p>
      <w:pPr>
        <w:pStyle w:val="ListBullet"/>
      </w:pPr>
      <w:r>
        <w:t>Major versions are required for incompatible wire or semantic changes.</w:t>
      </w:r>
    </w:p>
    <w:p>
      <w:pPr>
        <w:pStyle w:val="ListBullet"/>
      </w:pPr>
      <w:r>
        <w:t>Capability negotiation advertises supported versions and extensions.</w:t>
      </w:r>
    </w:p>
    <w:p>
      <w:pPr>
        <w:pStyle w:val="ListBullet"/>
      </w:pPr>
      <w:r>
        <w:t>Breaking RFCs require migration guidance, conformance updates, reference implementation updates, and benchmark impact analysis.</w:t>
      </w:r>
    </w:p>
    <w:p>
      <w:pPr>
        <w:pStyle w:val="Heading1"/>
      </w:pPr>
      <w:r>
        <w:t>6. OATF: Reference Framework Specification</w:t>
      </w:r>
    </w:p>
    <w:p>
      <w:r>
        <w:t>OATF is the initial readable implementation of OATP and OATS and the baseline system under test for OATBench. It is not authoritative merely because it is first.</w:t>
      </w:r>
    </w:p>
    <w:p>
      <w:pPr>
        <w:pStyle w:val="Heading2"/>
      </w:pPr>
      <w:r>
        <w:t>6.1 Initial modules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oatf/</w:t>
              <w:br/>
              <w:t xml:space="preserve">  protocol/       schemas, canonicalization, validation, transport adapters</w:t>
              <w:br/>
              <w:t xml:space="preserve">  identity/       keys, identities, trust domains, rotation and revocation</w:t>
              <w:br/>
              <w:t xml:space="preserve">  observers/      runtime, tool, memory, identity, network, policy, recovery</w:t>
              <w:br/>
              <w:t xml:space="preserve">  evidence/       digests, receipts, local evidence store and access control</w:t>
              <w:br/>
              <w:t xml:space="preserve">  trust/          pluggable local trust engines and observer reliability</w:t>
              <w:br/>
              <w:t xml:space="preserve">  responses/      allow, challenge, constrain, isolate, pause, quarantine, recover</w:t>
              <w:br/>
              <w:t xml:space="preserve">  simulation/     deterministic nodes and fault injection adapters</w:t>
              <w:br/>
              <w:t xml:space="preserve">  integrations/   AgentDojo, policy engines, agent frameworks, OpenTelemetry</w:t>
              <w:br/>
              <w:t xml:space="preserve">  metrics/        event capture, benchmark metrics and result schemas</w:t>
              <w:br/>
              <w:t xml:space="preserve">  cli/            run, validate, replay, inspect and benchmark commands</w:t>
              <w:br/>
              <w:t xml:space="preserve">  examples/       minimal single-node and distributed scenarios</w:t>
            </w:r>
          </w:p>
        </w:tc>
      </w:tr>
    </w:tbl>
    <w:p/>
    <w:p>
      <w:pPr>
        <w:pStyle w:val="Heading2"/>
      </w:pPr>
      <w:r>
        <w:t>6.2 Reference trust engine</w:t>
      </w:r>
    </w:p>
    <w:p>
      <w:r>
        <w:t>The baseline trust engine should be intentionally simple, deterministic, replaceable, and transparent. It exists to exercise the protocol and establish a reproducible lower-bound baseline, not to claim optimal detection.</w:t>
      </w:r>
    </w:p>
    <w:p>
      <w:pPr>
        <w:pStyle w:val="ListBullet"/>
      </w:pPr>
      <w:r>
        <w:t>Accept local and validated remote observations.</w:t>
      </w:r>
    </w:p>
    <w:p>
      <w:pPr>
        <w:pStyle w:val="ListBullet"/>
      </w:pPr>
      <w:r>
        <w:t>Apply freshness decay and scope validation.</w:t>
      </w:r>
    </w:p>
    <w:p>
      <w:pPr>
        <w:pStyle w:val="ListBullet"/>
      </w:pPr>
      <w:r>
        <w:t>Weight evidence quality, observer reliability, and trust-domain diversity.</w:t>
      </w:r>
    </w:p>
    <w:p>
      <w:pPr>
        <w:pStyle w:val="ListBullet"/>
      </w:pPr>
      <w:r>
        <w:t>Map results into externally observable lifecycle states.</w:t>
      </w:r>
    </w:p>
    <w:p>
      <w:pPr>
        <w:pStyle w:val="ListBullet"/>
      </w:pPr>
      <w:r>
        <w:t>Log the observation IDs and rule contributions behind each local transition.</w:t>
      </w:r>
    </w:p>
    <w:p>
      <w:pPr>
        <w:pStyle w:val="ListBullet"/>
      </w:pPr>
      <w:r>
        <w:t>Never transmit its internal score as protocol truth.</w:t>
      </w:r>
    </w:p>
    <w:p>
      <w:pPr>
        <w:pStyle w:val="Heading2"/>
      </w:pPr>
      <w:r>
        <w:t>6.3 Response adapters</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Response</w:t>
            </w:r>
          </w:p>
        </w:tc>
        <w:tc>
          <w:tcPr>
            <w:tcW w:type="dxa" w:w="7776"/>
            <w:shd w:fill="183B56"/>
            <w:vAlign w:val="center"/>
            <w:tcMar>
              <w:top w:w="100" w:type="dxa"/>
              <w:start w:w="120" w:type="dxa"/>
              <w:bottom w:w="100" w:type="dxa"/>
              <w:end w:w="120" w:type="dxa"/>
            </w:tcMar>
          </w:tcPr>
          <w:p>
            <w:pPr>
              <w:jc w:val="center"/>
            </w:pPr>
            <w:r>
              <w:rPr>
                <w:b/>
                <w:color w:val="FFFFFF"/>
                <w:sz w:val="18"/>
              </w:rPr>
              <w:t>Reference behavior</w:t>
            </w:r>
          </w:p>
        </w:tc>
      </w:tr>
      <w:tr>
        <w:tc>
          <w:tcPr>
            <w:tcW w:type="dxa" w:w="2160"/>
            <w:vAlign w:val="center"/>
            <w:tcMar>
              <w:top w:w="100" w:type="dxa"/>
              <w:start w:w="120" w:type="dxa"/>
              <w:bottom w:w="100" w:type="dxa"/>
              <w:end w:w="120" w:type="dxa"/>
            </w:tcMar>
          </w:tcPr>
          <w:p>
            <w:r>
              <w:rPr>
                <w:sz w:val="18"/>
              </w:rPr>
              <w:t>Allow</w:t>
            </w:r>
          </w:p>
        </w:tc>
        <w:tc>
          <w:tcPr>
            <w:tcW w:type="dxa" w:w="7776"/>
            <w:vAlign w:val="center"/>
            <w:tcMar>
              <w:top w:w="100" w:type="dxa"/>
              <w:start w:w="120" w:type="dxa"/>
              <w:bottom w:w="100" w:type="dxa"/>
              <w:end w:w="120" w:type="dxa"/>
            </w:tcMar>
          </w:tcPr>
          <w:p>
            <w:r>
              <w:rPr>
                <w:sz w:val="18"/>
              </w:rPr>
              <w:t>Continue under existing policy.</w:t>
            </w:r>
          </w:p>
        </w:tc>
      </w:tr>
      <w:tr>
        <w:tc>
          <w:tcPr>
            <w:tcW w:type="dxa" w:w="2160"/>
            <w:vAlign w:val="center"/>
            <w:tcMar>
              <w:top w:w="100" w:type="dxa"/>
              <w:start w:w="120" w:type="dxa"/>
              <w:bottom w:w="100" w:type="dxa"/>
              <w:end w:w="120" w:type="dxa"/>
            </w:tcMar>
            <w:shd w:fill="F1F5F8"/>
          </w:tcPr>
          <w:p>
            <w:r>
              <w:rPr>
                <w:sz w:val="18"/>
              </w:rPr>
              <w:t>Observe</w:t>
            </w:r>
          </w:p>
        </w:tc>
        <w:tc>
          <w:tcPr>
            <w:tcW w:type="dxa" w:w="7776"/>
            <w:vAlign w:val="center"/>
            <w:tcMar>
              <w:top w:w="100" w:type="dxa"/>
              <w:start w:w="120" w:type="dxa"/>
              <w:bottom w:w="100" w:type="dxa"/>
              <w:end w:w="120" w:type="dxa"/>
            </w:tcMar>
            <w:shd w:fill="F1F5F8"/>
          </w:tcPr>
          <w:p>
            <w:r>
              <w:rPr>
                <w:sz w:val="18"/>
              </w:rPr>
              <w:t>Increase local telemetry or sampling.</w:t>
            </w:r>
          </w:p>
        </w:tc>
      </w:tr>
      <w:tr>
        <w:tc>
          <w:tcPr>
            <w:tcW w:type="dxa" w:w="2160"/>
            <w:vAlign w:val="center"/>
            <w:tcMar>
              <w:top w:w="100" w:type="dxa"/>
              <w:start w:w="120" w:type="dxa"/>
              <w:bottom w:w="100" w:type="dxa"/>
              <w:end w:w="120" w:type="dxa"/>
            </w:tcMar>
          </w:tcPr>
          <w:p>
            <w:r>
              <w:rPr>
                <w:sz w:val="18"/>
              </w:rPr>
              <w:t>Challenge</w:t>
            </w:r>
          </w:p>
        </w:tc>
        <w:tc>
          <w:tcPr>
            <w:tcW w:type="dxa" w:w="7776"/>
            <w:vAlign w:val="center"/>
            <w:tcMar>
              <w:top w:w="100" w:type="dxa"/>
              <w:start w:w="120" w:type="dxa"/>
              <w:bottom w:w="100" w:type="dxa"/>
              <w:end w:w="120" w:type="dxa"/>
            </w:tcMar>
          </w:tcPr>
          <w:p>
            <w:r>
              <w:rPr>
                <w:sz w:val="18"/>
              </w:rPr>
              <w:t>Request attestation, evidence, re-authentication, or user confirmation.</w:t>
            </w:r>
          </w:p>
        </w:tc>
      </w:tr>
      <w:tr>
        <w:tc>
          <w:tcPr>
            <w:tcW w:type="dxa" w:w="2160"/>
            <w:vAlign w:val="center"/>
            <w:tcMar>
              <w:top w:w="100" w:type="dxa"/>
              <w:start w:w="120" w:type="dxa"/>
              <w:bottom w:w="100" w:type="dxa"/>
              <w:end w:w="120" w:type="dxa"/>
            </w:tcMar>
            <w:shd w:fill="F1F5F8"/>
          </w:tcPr>
          <w:p>
            <w:r>
              <w:rPr>
                <w:sz w:val="18"/>
              </w:rPr>
              <w:t>Reduce capability</w:t>
            </w:r>
          </w:p>
        </w:tc>
        <w:tc>
          <w:tcPr>
            <w:tcW w:type="dxa" w:w="7776"/>
            <w:vAlign w:val="center"/>
            <w:tcMar>
              <w:top w:w="100" w:type="dxa"/>
              <w:start w:w="120" w:type="dxa"/>
              <w:bottom w:w="100" w:type="dxa"/>
              <w:end w:w="120" w:type="dxa"/>
            </w:tcMar>
            <w:shd w:fill="F1F5F8"/>
          </w:tcPr>
          <w:p>
            <w:r>
              <w:rPr>
                <w:sz w:val="18"/>
              </w:rPr>
              <w:t>Issue or enforce a narrower capability set.</w:t>
            </w:r>
          </w:p>
        </w:tc>
      </w:tr>
      <w:tr>
        <w:tc>
          <w:tcPr>
            <w:tcW w:type="dxa" w:w="2160"/>
            <w:vAlign w:val="center"/>
            <w:tcMar>
              <w:top w:w="100" w:type="dxa"/>
              <w:start w:w="120" w:type="dxa"/>
              <w:bottom w:w="100" w:type="dxa"/>
              <w:end w:w="120" w:type="dxa"/>
            </w:tcMar>
          </w:tcPr>
          <w:p>
            <w:r>
              <w:rPr>
                <w:sz w:val="18"/>
              </w:rPr>
              <w:t>Restrict tool</w:t>
            </w:r>
          </w:p>
        </w:tc>
        <w:tc>
          <w:tcPr>
            <w:tcW w:type="dxa" w:w="7776"/>
            <w:vAlign w:val="center"/>
            <w:tcMar>
              <w:top w:w="100" w:type="dxa"/>
              <w:start w:w="120" w:type="dxa"/>
              <w:bottom w:w="100" w:type="dxa"/>
              <w:end w:w="120" w:type="dxa"/>
            </w:tcMar>
          </w:tcPr>
          <w:p>
            <w:r>
              <w:rPr>
                <w:sz w:val="18"/>
              </w:rPr>
              <w:t>Block or require approval for selected tools or operations.</w:t>
            </w:r>
          </w:p>
        </w:tc>
      </w:tr>
      <w:tr>
        <w:tc>
          <w:tcPr>
            <w:tcW w:type="dxa" w:w="2160"/>
            <w:vAlign w:val="center"/>
            <w:tcMar>
              <w:top w:w="100" w:type="dxa"/>
              <w:start w:w="120" w:type="dxa"/>
              <w:bottom w:w="100" w:type="dxa"/>
              <w:end w:w="120" w:type="dxa"/>
            </w:tcMar>
            <w:shd w:fill="F1F5F8"/>
          </w:tcPr>
          <w:p>
            <w:r>
              <w:rPr>
                <w:sz w:val="18"/>
              </w:rPr>
              <w:t>Isolate memory</w:t>
            </w:r>
          </w:p>
        </w:tc>
        <w:tc>
          <w:tcPr>
            <w:tcW w:type="dxa" w:w="7776"/>
            <w:vAlign w:val="center"/>
            <w:tcMar>
              <w:top w:w="100" w:type="dxa"/>
              <w:start w:w="120" w:type="dxa"/>
              <w:bottom w:w="100" w:type="dxa"/>
              <w:end w:w="120" w:type="dxa"/>
            </w:tcMar>
            <w:shd w:fill="F1F5F8"/>
          </w:tcPr>
          <w:p>
            <w:r>
              <w:rPr>
                <w:sz w:val="18"/>
              </w:rPr>
              <w:t>Prevent reads/writes from suspected memory lineage.</w:t>
            </w:r>
          </w:p>
        </w:tc>
      </w:tr>
      <w:tr>
        <w:tc>
          <w:tcPr>
            <w:tcW w:type="dxa" w:w="2160"/>
            <w:vAlign w:val="center"/>
            <w:tcMar>
              <w:top w:w="100" w:type="dxa"/>
              <w:start w:w="120" w:type="dxa"/>
              <w:bottom w:w="100" w:type="dxa"/>
              <w:end w:w="120" w:type="dxa"/>
            </w:tcMar>
          </w:tcPr>
          <w:p>
            <w:r>
              <w:rPr>
                <w:sz w:val="18"/>
              </w:rPr>
              <w:t>Pause workflow</w:t>
            </w:r>
          </w:p>
        </w:tc>
        <w:tc>
          <w:tcPr>
            <w:tcW w:type="dxa" w:w="7776"/>
            <w:vAlign w:val="center"/>
            <w:tcMar>
              <w:top w:w="100" w:type="dxa"/>
              <w:start w:w="120" w:type="dxa"/>
              <w:bottom w:w="100" w:type="dxa"/>
              <w:end w:w="120" w:type="dxa"/>
            </w:tcMar>
          </w:tcPr>
          <w:p>
            <w:r>
              <w:rPr>
                <w:sz w:val="18"/>
              </w:rPr>
              <w:t>Suspend execution while retaining recoverable state.</w:t>
            </w:r>
          </w:p>
        </w:tc>
      </w:tr>
      <w:tr>
        <w:tc>
          <w:tcPr>
            <w:tcW w:type="dxa" w:w="2160"/>
            <w:vAlign w:val="center"/>
            <w:tcMar>
              <w:top w:w="100" w:type="dxa"/>
              <w:start w:w="120" w:type="dxa"/>
              <w:bottom w:w="100" w:type="dxa"/>
              <w:end w:w="120" w:type="dxa"/>
            </w:tcMar>
            <w:shd w:fill="F1F5F8"/>
          </w:tcPr>
          <w:p>
            <w:r>
              <w:rPr>
                <w:sz w:val="18"/>
              </w:rPr>
              <w:t>Quarantine actor</w:t>
            </w:r>
          </w:p>
        </w:tc>
        <w:tc>
          <w:tcPr>
            <w:tcW w:type="dxa" w:w="7776"/>
            <w:vAlign w:val="center"/>
            <w:tcMar>
              <w:top w:w="100" w:type="dxa"/>
              <w:start w:w="120" w:type="dxa"/>
              <w:bottom w:w="100" w:type="dxa"/>
              <w:end w:w="120" w:type="dxa"/>
            </w:tcMar>
            <w:shd w:fill="F1F5F8"/>
          </w:tcPr>
          <w:p>
            <w:r>
              <w:rPr>
                <w:sz w:val="18"/>
              </w:rPr>
              <w:t>Remove local access and isolate execution.</w:t>
            </w:r>
          </w:p>
        </w:tc>
      </w:tr>
      <w:tr>
        <w:tc>
          <w:tcPr>
            <w:tcW w:type="dxa" w:w="2160"/>
            <w:vAlign w:val="center"/>
            <w:tcMar>
              <w:top w:w="100" w:type="dxa"/>
              <w:start w:w="120" w:type="dxa"/>
              <w:bottom w:w="100" w:type="dxa"/>
              <w:end w:w="120" w:type="dxa"/>
            </w:tcMar>
          </w:tcPr>
          <w:p>
            <w:r>
              <w:rPr>
                <w:sz w:val="18"/>
              </w:rPr>
              <w:t>Human review</w:t>
            </w:r>
          </w:p>
        </w:tc>
        <w:tc>
          <w:tcPr>
            <w:tcW w:type="dxa" w:w="7776"/>
            <w:vAlign w:val="center"/>
            <w:tcMar>
              <w:top w:w="100" w:type="dxa"/>
              <w:start w:w="120" w:type="dxa"/>
              <w:bottom w:w="100" w:type="dxa"/>
              <w:end w:w="120" w:type="dxa"/>
            </w:tcMar>
          </w:tcPr>
          <w:p>
            <w:r>
              <w:rPr>
                <w:sz w:val="18"/>
              </w:rPr>
              <w:t>Emit a review package with evidence and provenance.</w:t>
            </w:r>
          </w:p>
        </w:tc>
      </w:tr>
      <w:tr>
        <w:tc>
          <w:tcPr>
            <w:tcW w:type="dxa" w:w="2160"/>
            <w:vAlign w:val="center"/>
            <w:tcMar>
              <w:top w:w="100" w:type="dxa"/>
              <w:start w:w="120" w:type="dxa"/>
              <w:bottom w:w="100" w:type="dxa"/>
              <w:end w:w="120" w:type="dxa"/>
            </w:tcMar>
            <w:shd w:fill="F1F5F8"/>
          </w:tcPr>
          <w:p>
            <w:r>
              <w:rPr>
                <w:sz w:val="18"/>
              </w:rPr>
              <w:t>Recover</w:t>
            </w:r>
          </w:p>
        </w:tc>
        <w:tc>
          <w:tcPr>
            <w:tcW w:type="dxa" w:w="7776"/>
            <w:vAlign w:val="center"/>
            <w:tcMar>
              <w:top w:w="100" w:type="dxa"/>
              <w:start w:w="120" w:type="dxa"/>
              <w:bottom w:w="100" w:type="dxa"/>
              <w:end w:w="120" w:type="dxa"/>
            </w:tcMar>
            <w:shd w:fill="F1F5F8"/>
          </w:tcPr>
          <w:p>
            <w:r>
              <w:rPr>
                <w:sz w:val="18"/>
              </w:rPr>
              <w:t>Restore capabilities gradually after evidence-backed gates.</w:t>
            </w:r>
          </w:p>
        </w:tc>
      </w:tr>
    </w:tbl>
    <w:p/>
    <w:p>
      <w:pPr>
        <w:pStyle w:val="Heading2"/>
      </w:pPr>
      <w:r>
        <w:t>6.4 Initial implementation constraints</w:t>
      </w:r>
    </w:p>
    <w:p>
      <w:pPr>
        <w:pStyle w:val="ListBullet"/>
      </w:pPr>
      <w:r>
        <w:t>Use deterministic clocks and seeded randomness in simulation.</w:t>
      </w:r>
    </w:p>
    <w:p>
      <w:pPr>
        <w:pStyle w:val="ListBullet"/>
      </w:pPr>
      <w:r>
        <w:t>Provide an in-memory and SQLite/JSONL evidence path before introducing distributed data infrastructure.</w:t>
      </w:r>
    </w:p>
    <w:p>
      <w:pPr>
        <w:pStyle w:val="ListBullet"/>
      </w:pPr>
      <w:r>
        <w:t>Keep transport adapters separate from core semantics.</w:t>
      </w:r>
    </w:p>
    <w:p>
      <w:pPr>
        <w:pStyle w:val="ListBullet"/>
      </w:pPr>
      <w:r>
        <w:t>Provide JSON Schema first; add Protobuf after semantics stabilize.</w:t>
      </w:r>
    </w:p>
    <w:p>
      <w:pPr>
        <w:pStyle w:val="ListBullet"/>
      </w:pPr>
      <w:r>
        <w:t>Expose machine-readable event logs for every validation, state transition, and response.</w:t>
      </w:r>
    </w:p>
    <w:p>
      <w:pPr>
        <w:pStyle w:val="ListBullet"/>
      </w:pPr>
      <w:r>
        <w:t>Avoid Kubernetes, Kafka, blockchain, graph databases, and complex control planes in the first milestone unless a benchmark requires them.</w:t>
      </w:r>
    </w:p>
    <w:p>
      <w:pPr>
        <w:pStyle w:val="Heading1"/>
      </w:pPr>
      <w:r>
        <w:t>7. OATBench: Benchmark Specification</w:t>
      </w:r>
    </w:p>
    <w:p>
      <w:pPr>
        <w:pStyle w:val="Heading2"/>
      </w:pPr>
      <w:r>
        <w:t>7.1 Purpose</w:t>
      </w:r>
    </w:p>
    <w:p>
      <w:r>
        <w:t>OATBench provides reproducible evaluation of protocol implementations, trust algorithms, response strategies, and integrations under identical benign workloads, adversarial campaigns, and distributed-system faults.</w:t>
      </w:r>
    </w:p>
    <w:p>
      <w:pPr>
        <w:pStyle w:val="Heading2"/>
      </w:pPr>
      <w:r>
        <w:t>7.2 Evaluation dimensions</w:t>
      </w:r>
    </w:p>
    <w:tbl>
      <w:tblPr>
        <w:tblStyle w:val="TableGrid"/>
        <w:tblW w:type="auto" w:w="0"/>
        <w:jc w:val="center"/>
        <w:tblLook w:firstColumn="1" w:firstRow="1" w:lastColumn="0" w:lastRow="0" w:noHBand="0" w:noVBand="1" w:val="04A0"/>
      </w:tblPr>
      <w:tblGrid>
        <w:gridCol w:w="4968"/>
        <w:gridCol w:w="4968"/>
      </w:tblGrid>
      <w:tr>
        <w:tc>
          <w:tcPr>
            <w:tcW w:type="dxa" w:w="1872"/>
            <w:shd w:fill="183B56"/>
            <w:vAlign w:val="center"/>
            <w:tcMar>
              <w:top w:w="100" w:type="dxa"/>
              <w:start w:w="120" w:type="dxa"/>
              <w:bottom w:w="100" w:type="dxa"/>
              <w:end w:w="120" w:type="dxa"/>
            </w:tcMar>
          </w:tcPr>
          <w:p>
            <w:pPr>
              <w:jc w:val="center"/>
            </w:pPr>
            <w:r>
              <w:rPr>
                <w:b/>
                <w:color w:val="FFFFFF"/>
                <w:sz w:val="18"/>
              </w:rPr>
              <w:t>Dimension</w:t>
            </w:r>
          </w:p>
        </w:tc>
        <w:tc>
          <w:tcPr>
            <w:tcW w:type="dxa" w:w="8064"/>
            <w:shd w:fill="183B56"/>
            <w:vAlign w:val="center"/>
            <w:tcMar>
              <w:top w:w="100" w:type="dxa"/>
              <w:start w:w="120" w:type="dxa"/>
              <w:bottom w:w="100" w:type="dxa"/>
              <w:end w:w="120" w:type="dxa"/>
            </w:tcMar>
          </w:tcPr>
          <w:p>
            <w:pPr>
              <w:jc w:val="center"/>
            </w:pPr>
            <w:r>
              <w:rPr>
                <w:b/>
                <w:color w:val="FFFFFF"/>
                <w:sz w:val="18"/>
              </w:rPr>
              <w:t>Core metrics</w:t>
            </w:r>
          </w:p>
        </w:tc>
      </w:tr>
      <w:tr>
        <w:tc>
          <w:tcPr>
            <w:tcW w:type="dxa" w:w="1872"/>
            <w:vAlign w:val="center"/>
            <w:tcMar>
              <w:top w:w="100" w:type="dxa"/>
              <w:start w:w="120" w:type="dxa"/>
              <w:bottom w:w="100" w:type="dxa"/>
              <w:end w:w="120" w:type="dxa"/>
            </w:tcMar>
          </w:tcPr>
          <w:p>
            <w:r>
              <w:rPr>
                <w:sz w:val="18"/>
              </w:rPr>
              <w:t>Security</w:t>
            </w:r>
          </w:p>
        </w:tc>
        <w:tc>
          <w:tcPr>
            <w:tcW w:type="dxa" w:w="8064"/>
            <w:vAlign w:val="center"/>
            <w:tcMar>
              <w:top w:w="100" w:type="dxa"/>
              <w:start w:w="120" w:type="dxa"/>
              <w:bottom w:w="100" w:type="dxa"/>
              <w:end w:w="120" w:type="dxa"/>
            </w:tcMar>
          </w:tcPr>
          <w:p>
            <w:r>
              <w:rPr>
                <w:sz w:val="18"/>
              </w:rPr>
              <w:t>Attack success rate, false-negative rate, blast radius, detection latency, containment latency, poison/spoof/replay resistance</w:t>
            </w:r>
          </w:p>
        </w:tc>
      </w:tr>
      <w:tr>
        <w:tc>
          <w:tcPr>
            <w:tcW w:type="dxa" w:w="1872"/>
            <w:vAlign w:val="center"/>
            <w:tcMar>
              <w:top w:w="100" w:type="dxa"/>
              <w:start w:w="120" w:type="dxa"/>
              <w:bottom w:w="100" w:type="dxa"/>
              <w:end w:w="120" w:type="dxa"/>
            </w:tcMar>
            <w:shd w:fill="F1F5F8"/>
          </w:tcPr>
          <w:p>
            <w:r>
              <w:rPr>
                <w:sz w:val="18"/>
              </w:rPr>
              <w:t>Utility</w:t>
            </w:r>
          </w:p>
        </w:tc>
        <w:tc>
          <w:tcPr>
            <w:tcW w:type="dxa" w:w="8064"/>
            <w:vAlign w:val="center"/>
            <w:tcMar>
              <w:top w:w="100" w:type="dxa"/>
              <w:start w:w="120" w:type="dxa"/>
              <w:bottom w:w="100" w:type="dxa"/>
              <w:end w:w="120" w:type="dxa"/>
            </w:tcMar>
            <w:shd w:fill="F1F5F8"/>
          </w:tcPr>
          <w:p>
            <w:r>
              <w:rPr>
                <w:sz w:val="18"/>
              </w:rPr>
              <w:t>Benign task completion, autonomy preservation, tool availability, user-visible degradation</w:t>
            </w:r>
          </w:p>
        </w:tc>
      </w:tr>
      <w:tr>
        <w:tc>
          <w:tcPr>
            <w:tcW w:type="dxa" w:w="1872"/>
            <w:vAlign w:val="center"/>
            <w:tcMar>
              <w:top w:w="100" w:type="dxa"/>
              <w:start w:w="120" w:type="dxa"/>
              <w:bottom w:w="100" w:type="dxa"/>
              <w:end w:w="120" w:type="dxa"/>
            </w:tcMar>
          </w:tcPr>
          <w:p>
            <w:r>
              <w:rPr>
                <w:sz w:val="18"/>
              </w:rPr>
              <w:t>Reliability</w:t>
            </w:r>
          </w:p>
        </w:tc>
        <w:tc>
          <w:tcPr>
            <w:tcW w:type="dxa" w:w="8064"/>
            <w:vAlign w:val="center"/>
            <w:tcMar>
              <w:top w:w="100" w:type="dxa"/>
              <w:start w:w="120" w:type="dxa"/>
              <w:bottom w:w="100" w:type="dxa"/>
              <w:end w:w="120" w:type="dxa"/>
            </w:tcMar>
          </w:tcPr>
          <w:p>
            <w:r>
              <w:rPr>
                <w:sz w:val="18"/>
              </w:rPr>
              <w:t>False-positive rate, false quarantine, convergence time, partition recovery, availability, recovery accuracy</w:t>
            </w:r>
          </w:p>
        </w:tc>
      </w:tr>
      <w:tr>
        <w:tc>
          <w:tcPr>
            <w:tcW w:type="dxa" w:w="1872"/>
            <w:vAlign w:val="center"/>
            <w:tcMar>
              <w:top w:w="100" w:type="dxa"/>
              <w:start w:w="120" w:type="dxa"/>
              <w:bottom w:w="100" w:type="dxa"/>
              <w:end w:w="120" w:type="dxa"/>
            </w:tcMar>
            <w:shd w:fill="F1F5F8"/>
          </w:tcPr>
          <w:p>
            <w:r>
              <w:rPr>
                <w:sz w:val="18"/>
              </w:rPr>
              <w:t>Performance</w:t>
            </w:r>
          </w:p>
        </w:tc>
        <w:tc>
          <w:tcPr>
            <w:tcW w:type="dxa" w:w="8064"/>
            <w:vAlign w:val="center"/>
            <w:tcMar>
              <w:top w:w="100" w:type="dxa"/>
              <w:start w:w="120" w:type="dxa"/>
              <w:bottom w:w="100" w:type="dxa"/>
              <w:end w:w="120" w:type="dxa"/>
            </w:tcMar>
            <w:shd w:fill="F1F5F8"/>
          </w:tcPr>
          <w:p>
            <w:r>
              <w:rPr>
                <w:sz w:val="18"/>
              </w:rPr>
              <w:t>Decision latency, protocol overhead, throughput, CPU, memory, network volume, evidence validation cost</w:t>
            </w:r>
          </w:p>
        </w:tc>
      </w:tr>
      <w:tr>
        <w:tc>
          <w:tcPr>
            <w:tcW w:type="dxa" w:w="1872"/>
            <w:vAlign w:val="center"/>
            <w:tcMar>
              <w:top w:w="100" w:type="dxa"/>
              <w:start w:w="120" w:type="dxa"/>
              <w:bottom w:w="100" w:type="dxa"/>
              <w:end w:w="120" w:type="dxa"/>
            </w:tcMar>
          </w:tcPr>
          <w:p>
            <w:r>
              <w:rPr>
                <w:sz w:val="18"/>
              </w:rPr>
              <w:t>Decentralization</w:t>
            </w:r>
          </w:p>
        </w:tc>
        <w:tc>
          <w:tcPr>
            <w:tcW w:type="dxa" w:w="8064"/>
            <w:vAlign w:val="center"/>
            <w:tcMar>
              <w:top w:w="100" w:type="dxa"/>
              <w:start w:w="120" w:type="dxa"/>
              <w:bottom w:w="100" w:type="dxa"/>
              <w:end w:w="120" w:type="dxa"/>
            </w:tcMar>
          </w:tcPr>
          <w:p>
            <w:r>
              <w:rPr>
                <w:sz w:val="18"/>
              </w:rPr>
              <w:t>Maximum authority concentration, dependency on shared services, behavior after coordinator/node loss</w:t>
            </w:r>
          </w:p>
        </w:tc>
      </w:tr>
      <w:tr>
        <w:tc>
          <w:tcPr>
            <w:tcW w:type="dxa" w:w="1872"/>
            <w:vAlign w:val="center"/>
            <w:tcMar>
              <w:top w:w="100" w:type="dxa"/>
              <w:start w:w="120" w:type="dxa"/>
              <w:bottom w:w="100" w:type="dxa"/>
              <w:end w:w="120" w:type="dxa"/>
            </w:tcMar>
            <w:shd w:fill="F1F5F8"/>
          </w:tcPr>
          <w:p>
            <w:r>
              <w:rPr>
                <w:sz w:val="18"/>
              </w:rPr>
              <w:t>Recovery</w:t>
            </w:r>
          </w:p>
        </w:tc>
        <w:tc>
          <w:tcPr>
            <w:tcW w:type="dxa" w:w="8064"/>
            <w:vAlign w:val="center"/>
            <w:tcMar>
              <w:top w:w="100" w:type="dxa"/>
              <w:start w:w="120" w:type="dxa"/>
              <w:bottom w:w="100" w:type="dxa"/>
              <w:end w:w="120" w:type="dxa"/>
            </w:tcMar>
            <w:shd w:fill="F1F5F8"/>
          </w:tcPr>
          <w:p>
            <w:r>
              <w:rPr>
                <w:sz w:val="18"/>
              </w:rPr>
              <w:t>Time to safe restoration, recurrence rate, clean replay success, credential/attestation recovery effectiveness</w:t>
            </w:r>
          </w:p>
        </w:tc>
      </w:tr>
    </w:tbl>
    <w:p/>
    <w:p>
      <w:pPr>
        <w:pStyle w:val="Heading2"/>
      </w:pPr>
      <w:r>
        <w:t>7.3 Required baselines</w:t>
      </w:r>
    </w:p>
    <w:p>
      <w:pPr>
        <w:pStyle w:val="ListBullet"/>
      </w:pPr>
      <w:r>
        <w:t>No runtime trust layer; policy and existing guardrails only.</w:t>
      </w:r>
    </w:p>
    <w:p>
      <w:pPr>
        <w:pStyle w:val="ListBullet"/>
      </w:pPr>
      <w:r>
        <w:t>Centralized trust or rule engine with equivalent observations.</w:t>
      </w:r>
    </w:p>
    <w:p>
      <w:pPr>
        <w:pStyle w:val="ListBullet"/>
      </w:pPr>
      <w:r>
        <w:t>Distributed OATP implementation with one reference trust algorithm.</w:t>
      </w:r>
    </w:p>
    <w:p>
      <w:pPr>
        <w:pStyle w:val="ListBullet"/>
      </w:pPr>
      <w:r>
        <w:t>Distributed OATP implementation with protocol defenses disabled selectively for ablation studies.</w:t>
      </w:r>
    </w:p>
    <w:p>
      <w:pPr>
        <w:pStyle w:val="ListBullet"/>
      </w:pPr>
      <w:r>
        <w:t>At least one alternative local trust algorithm when available.</w:t>
      </w:r>
    </w:p>
    <w:p>
      <w:pPr>
        <w:pStyle w:val="Heading2"/>
      </w:pPr>
      <w:r>
        <w:t>7.4 Attack classes</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Class</w:t>
            </w:r>
          </w:p>
        </w:tc>
        <w:tc>
          <w:tcPr>
            <w:tcW w:type="dxa" w:w="7776"/>
            <w:shd w:fill="183B56"/>
            <w:vAlign w:val="center"/>
            <w:tcMar>
              <w:top w:w="100" w:type="dxa"/>
              <w:start w:w="120" w:type="dxa"/>
              <w:bottom w:w="100" w:type="dxa"/>
              <w:end w:w="120" w:type="dxa"/>
            </w:tcMar>
          </w:tcPr>
          <w:p>
            <w:pPr>
              <w:jc w:val="center"/>
            </w:pPr>
            <w:r>
              <w:rPr>
                <w:b/>
                <w:color w:val="FFFFFF"/>
                <w:sz w:val="18"/>
              </w:rPr>
              <w:t>Examples</w:t>
            </w:r>
          </w:p>
        </w:tc>
      </w:tr>
      <w:tr>
        <w:tc>
          <w:tcPr>
            <w:tcW w:type="dxa" w:w="2160"/>
            <w:vAlign w:val="center"/>
            <w:tcMar>
              <w:top w:w="100" w:type="dxa"/>
              <w:start w:w="120" w:type="dxa"/>
              <w:bottom w:w="100" w:type="dxa"/>
              <w:end w:w="120" w:type="dxa"/>
            </w:tcMar>
          </w:tcPr>
          <w:p>
            <w:r>
              <w:rPr>
                <w:sz w:val="18"/>
              </w:rPr>
              <w:t>Agent compromise</w:t>
            </w:r>
          </w:p>
        </w:tc>
        <w:tc>
          <w:tcPr>
            <w:tcW w:type="dxa" w:w="7776"/>
            <w:vAlign w:val="center"/>
            <w:tcMar>
              <w:top w:w="100" w:type="dxa"/>
              <w:start w:w="120" w:type="dxa"/>
              <w:bottom w:w="100" w:type="dxa"/>
              <w:end w:w="120" w:type="dxa"/>
            </w:tcMar>
          </w:tcPr>
          <w:p>
            <w:r>
              <w:rPr>
                <w:sz w:val="18"/>
              </w:rPr>
              <w:t>Direct or indirect prompt injection, malicious tool output, unauthorized delegation, data exfiltration, privilege accumulation</w:t>
            </w:r>
          </w:p>
        </w:tc>
      </w:tr>
      <w:tr>
        <w:tc>
          <w:tcPr>
            <w:tcW w:type="dxa" w:w="2160"/>
            <w:vAlign w:val="center"/>
            <w:tcMar>
              <w:top w:w="100" w:type="dxa"/>
              <w:start w:w="120" w:type="dxa"/>
              <w:bottom w:w="100" w:type="dxa"/>
              <w:end w:w="120" w:type="dxa"/>
            </w:tcMar>
            <w:shd w:fill="F1F5F8"/>
          </w:tcPr>
          <w:p>
            <w:r>
              <w:rPr>
                <w:sz w:val="18"/>
              </w:rPr>
              <w:t>Memory compromise</w:t>
            </w:r>
          </w:p>
        </w:tc>
        <w:tc>
          <w:tcPr>
            <w:tcW w:type="dxa" w:w="7776"/>
            <w:vAlign w:val="center"/>
            <w:tcMar>
              <w:top w:w="100" w:type="dxa"/>
              <w:start w:w="120" w:type="dxa"/>
              <w:bottom w:w="100" w:type="dxa"/>
              <w:end w:w="120" w:type="dxa"/>
            </w:tcMar>
            <w:shd w:fill="F1F5F8"/>
          </w:tcPr>
          <w:p>
            <w:r>
              <w:rPr>
                <w:sz w:val="18"/>
              </w:rPr>
              <w:t>Poisoned writes, contaminated retrieval, provenance manipulation, cross-workflow contamination</w:t>
            </w:r>
          </w:p>
        </w:tc>
      </w:tr>
      <w:tr>
        <w:tc>
          <w:tcPr>
            <w:tcW w:type="dxa" w:w="2160"/>
            <w:vAlign w:val="center"/>
            <w:tcMar>
              <w:top w:w="100" w:type="dxa"/>
              <w:start w:w="120" w:type="dxa"/>
              <w:bottom w:w="100" w:type="dxa"/>
              <w:end w:w="120" w:type="dxa"/>
            </w:tcMar>
          </w:tcPr>
          <w:p>
            <w:r>
              <w:rPr>
                <w:sz w:val="18"/>
              </w:rPr>
              <w:t>Protocol poisoning</w:t>
            </w:r>
          </w:p>
        </w:tc>
        <w:tc>
          <w:tcPr>
            <w:tcW w:type="dxa" w:w="7776"/>
            <w:vAlign w:val="center"/>
            <w:tcMar>
              <w:top w:w="100" w:type="dxa"/>
              <w:start w:w="120" w:type="dxa"/>
              <w:bottom w:w="100" w:type="dxa"/>
              <w:end w:w="120" w:type="dxa"/>
            </w:tcMar>
          </w:tcPr>
          <w:p>
            <w:r>
              <w:rPr>
                <w:sz w:val="18"/>
              </w:rPr>
              <w:t>Fabricated observations, severity inflation, false accusations, reputation farming, evidence withholding</w:t>
            </w:r>
          </w:p>
        </w:tc>
      </w:tr>
      <w:tr>
        <w:tc>
          <w:tcPr>
            <w:tcW w:type="dxa" w:w="2160"/>
            <w:vAlign w:val="center"/>
            <w:tcMar>
              <w:top w:w="100" w:type="dxa"/>
              <w:start w:w="120" w:type="dxa"/>
              <w:bottom w:w="100" w:type="dxa"/>
              <w:end w:w="120" w:type="dxa"/>
            </w:tcMar>
            <w:shd w:fill="F1F5F8"/>
          </w:tcPr>
          <w:p>
            <w:r>
              <w:rPr>
                <w:sz w:val="18"/>
              </w:rPr>
              <w:t>Spoofing and replay</w:t>
            </w:r>
          </w:p>
        </w:tc>
        <w:tc>
          <w:tcPr>
            <w:tcW w:type="dxa" w:w="7776"/>
            <w:vAlign w:val="center"/>
            <w:tcMar>
              <w:top w:w="100" w:type="dxa"/>
              <w:start w:w="120" w:type="dxa"/>
              <w:bottom w:w="100" w:type="dxa"/>
              <w:end w:w="120" w:type="dxa"/>
            </w:tcMar>
            <w:shd w:fill="F1F5F8"/>
          </w:tcPr>
          <w:p>
            <w:r>
              <w:rPr>
                <w:sz w:val="18"/>
              </w:rPr>
              <w:t>Forged identity, stolen valid identity, replayed signed message, field substitution, cross-tenant injection</w:t>
            </w:r>
          </w:p>
        </w:tc>
      </w:tr>
      <w:tr>
        <w:tc>
          <w:tcPr>
            <w:tcW w:type="dxa" w:w="2160"/>
            <w:vAlign w:val="center"/>
            <w:tcMar>
              <w:top w:w="100" w:type="dxa"/>
              <w:start w:w="120" w:type="dxa"/>
              <w:bottom w:w="100" w:type="dxa"/>
              <w:end w:w="120" w:type="dxa"/>
            </w:tcMar>
          </w:tcPr>
          <w:p>
            <w:r>
              <w:rPr>
                <w:sz w:val="18"/>
              </w:rPr>
              <w:t>Sybil and collusion</w:t>
            </w:r>
          </w:p>
        </w:tc>
        <w:tc>
          <w:tcPr>
            <w:tcW w:type="dxa" w:w="7776"/>
            <w:vAlign w:val="center"/>
            <w:tcMar>
              <w:top w:w="100" w:type="dxa"/>
              <w:start w:w="120" w:type="dxa"/>
              <w:bottom w:w="100" w:type="dxa"/>
              <w:end w:w="120" w:type="dxa"/>
            </w:tcMar>
          </w:tcPr>
          <w:p>
            <w:r>
              <w:rPr>
                <w:sz w:val="18"/>
              </w:rPr>
              <w:t>Many identities under one control domain, coordinated observer voting, colluding trust domains</w:t>
            </w:r>
          </w:p>
        </w:tc>
      </w:tr>
      <w:tr>
        <w:tc>
          <w:tcPr>
            <w:tcW w:type="dxa" w:w="2160"/>
            <w:vAlign w:val="center"/>
            <w:tcMar>
              <w:top w:w="100" w:type="dxa"/>
              <w:start w:w="120" w:type="dxa"/>
              <w:bottom w:w="100" w:type="dxa"/>
              <w:end w:w="120" w:type="dxa"/>
            </w:tcMar>
            <w:shd w:fill="F1F5F8"/>
          </w:tcPr>
          <w:p>
            <w:r>
              <w:rPr>
                <w:sz w:val="18"/>
              </w:rPr>
              <w:t>Suppression</w:t>
            </w:r>
          </w:p>
        </w:tc>
        <w:tc>
          <w:tcPr>
            <w:tcW w:type="dxa" w:w="7776"/>
            <w:vAlign w:val="center"/>
            <w:tcMar>
              <w:top w:w="100" w:type="dxa"/>
              <w:start w:w="120" w:type="dxa"/>
              <w:bottom w:w="100" w:type="dxa"/>
              <w:end w:w="120" w:type="dxa"/>
            </w:tcMar>
            <w:shd w:fill="F1F5F8"/>
          </w:tcPr>
          <w:p>
            <w:r>
              <w:rPr>
                <w:sz w:val="18"/>
              </w:rPr>
              <w:t>Missing heartbeats, selective non-reporting, evidence-store outage, delayed critical observations</w:t>
            </w:r>
          </w:p>
        </w:tc>
      </w:tr>
      <w:tr>
        <w:tc>
          <w:tcPr>
            <w:tcW w:type="dxa" w:w="2160"/>
            <w:vAlign w:val="center"/>
            <w:tcMar>
              <w:top w:w="100" w:type="dxa"/>
              <w:start w:w="120" w:type="dxa"/>
              <w:bottom w:w="100" w:type="dxa"/>
              <w:end w:w="120" w:type="dxa"/>
            </w:tcMar>
          </w:tcPr>
          <w:p>
            <w:r>
              <w:rPr>
                <w:sz w:val="18"/>
              </w:rPr>
              <w:t>Distributed failure</w:t>
            </w:r>
          </w:p>
        </w:tc>
        <w:tc>
          <w:tcPr>
            <w:tcW w:type="dxa" w:w="7776"/>
            <w:vAlign w:val="center"/>
            <w:tcMar>
              <w:top w:w="100" w:type="dxa"/>
              <w:start w:w="120" w:type="dxa"/>
              <w:bottom w:w="100" w:type="dxa"/>
              <w:end w:w="120" w:type="dxa"/>
            </w:tcMar>
          </w:tcPr>
          <w:p>
            <w:r>
              <w:rPr>
                <w:sz w:val="18"/>
              </w:rPr>
              <w:t>Partition, asymmetric reachability, clock skew, pause/kill/restart, duplicate and reordered messages</w:t>
            </w:r>
          </w:p>
        </w:tc>
      </w:tr>
      <w:tr>
        <w:tc>
          <w:tcPr>
            <w:tcW w:type="dxa" w:w="2160"/>
            <w:vAlign w:val="center"/>
            <w:tcMar>
              <w:top w:w="100" w:type="dxa"/>
              <w:start w:w="120" w:type="dxa"/>
              <w:bottom w:w="100" w:type="dxa"/>
              <w:end w:w="120" w:type="dxa"/>
            </w:tcMar>
            <w:shd w:fill="F1F5F8"/>
          </w:tcPr>
          <w:p>
            <w:r>
              <w:rPr>
                <w:sz w:val="18"/>
              </w:rPr>
              <w:t>Mixed campaign</w:t>
            </w:r>
          </w:p>
        </w:tc>
        <w:tc>
          <w:tcPr>
            <w:tcW w:type="dxa" w:w="7776"/>
            <w:vAlign w:val="center"/>
            <w:tcMar>
              <w:top w:w="100" w:type="dxa"/>
              <w:start w:w="120" w:type="dxa"/>
              <w:bottom w:w="100" w:type="dxa"/>
              <w:end w:w="120" w:type="dxa"/>
            </w:tcMar>
            <w:shd w:fill="F1F5F8"/>
          </w:tcPr>
          <w:p>
            <w:r>
              <w:rPr>
                <w:sz w:val="18"/>
              </w:rPr>
              <w:t>Agent compromise combined with observer compromise, credential theft, partition and recovery manipulation</w:t>
            </w:r>
          </w:p>
        </w:tc>
      </w:tr>
    </w:tbl>
    <w:p/>
    <w:p>
      <w:pPr>
        <w:pStyle w:val="Heading2"/>
      </w:pPr>
      <w:r>
        <w:t>7.5 Workloads</w:t>
      </w:r>
    </w:p>
    <w:p>
      <w:pPr>
        <w:pStyle w:val="ListBullet"/>
      </w:pPr>
      <w:r>
        <w:t>Email and calendar automation.</w:t>
      </w:r>
    </w:p>
    <w:p>
      <w:pPr>
        <w:pStyle w:val="ListBullet"/>
      </w:pPr>
      <w:r>
        <w:t>Knowledge retrieval and memory-augmented assistance.</w:t>
      </w:r>
    </w:p>
    <w:p>
      <w:pPr>
        <w:pStyle w:val="ListBullet"/>
      </w:pPr>
      <w:r>
        <w:t>Travel or purchasing workflows with tool calls.</w:t>
      </w:r>
    </w:p>
    <w:p>
      <w:pPr>
        <w:pStyle w:val="ListBullet"/>
      </w:pPr>
      <w:r>
        <w:t>Customer-support and CRM workflows.</w:t>
      </w:r>
    </w:p>
    <w:p>
      <w:pPr>
        <w:pStyle w:val="ListBullet"/>
      </w:pPr>
      <w:r>
        <w:t>Software-engineering agents.</w:t>
      </w:r>
    </w:p>
    <w:p>
      <w:pPr>
        <w:pStyle w:val="ListBullet"/>
      </w:pPr>
      <w:r>
        <w:t>Multi-agent planning and delegation.</w:t>
      </w:r>
    </w:p>
    <w:p>
      <w:pPr>
        <w:pStyle w:val="ListBullet"/>
      </w:pPr>
      <w:r>
        <w:t>Financial or administrative workflows using synthetic data.</w:t>
      </w:r>
    </w:p>
    <w:p>
      <w:pPr>
        <w:pStyle w:val="ListBullet"/>
      </w:pPr>
      <w:r>
        <w:t>Protocol-only distributed simulations without LLMs.</w:t>
      </w:r>
    </w:p>
    <w:p>
      <w:pPr>
        <w:pStyle w:val="Heading2"/>
      </w:pPr>
      <w:r>
        <w:t>7.6 Experimental methodology</w:t>
      </w:r>
    </w:p>
    <w:p>
      <w:pPr>
        <w:pStyle w:val="ListNumber"/>
      </w:pPr>
      <w:r>
        <w:t>Define a deterministic workload and expected benign outcome.</w:t>
      </w:r>
    </w:p>
    <w:p>
      <w:pPr>
        <w:pStyle w:val="ListNumber"/>
      </w:pPr>
      <w:r>
        <w:t>Run the workload without the trust layer to establish utility and attack baseline.</w:t>
      </w:r>
    </w:p>
    <w:p>
      <w:pPr>
        <w:pStyle w:val="ListNumber"/>
      </w:pPr>
      <w:r>
        <w:t>Enable OATP/OATF and run the same seeded scenario.</w:t>
      </w:r>
    </w:p>
    <w:p>
      <w:pPr>
        <w:pStyle w:val="ListNumber"/>
      </w:pPr>
      <w:r>
        <w:t>Inject one attack or failure variable at a time for controlled experiments.</w:t>
      </w:r>
    </w:p>
    <w:p>
      <w:pPr>
        <w:pStyle w:val="ListNumber"/>
      </w:pPr>
      <w:r>
        <w:t>Run mixed campaigns after individual mechanisms are understood.</w:t>
      </w:r>
    </w:p>
    <w:p>
      <w:pPr>
        <w:pStyle w:val="ListNumber"/>
      </w:pPr>
      <w:r>
        <w:t>Repeat across seeds, topologies, observer compromise ratios, network conditions, trust algorithms, and response policies.</w:t>
      </w:r>
    </w:p>
    <w:p>
      <w:pPr>
        <w:pStyle w:val="ListNumber"/>
      </w:pPr>
      <w:r>
        <w:t>Publish raw event logs, configuration, code revision, random seeds, environment details, metric definitions, and analysis scripts.</w:t>
      </w:r>
    </w:p>
    <w:p>
      <w:pPr>
        <w:pStyle w:val="ListNumber"/>
      </w:pPr>
      <w:r>
        <w:t>Report confidence intervals and distinguish statistically meaningful changes from anecdotal demonstrations.</w:t>
      </w:r>
    </w:p>
    <w:p>
      <w:pPr>
        <w:pStyle w:val="Heading2"/>
      </w:pPr>
      <w:r>
        <w:t>7.7 Benchmark result record</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w:t>
              <w:br/>
              <w:t xml:space="preserve">  "benchmark_version": "0.1",</w:t>
              <w:br/>
              <w:t xml:space="preserve">  "implementation": {"name": "OATF", "revision": "git-sha"},</w:t>
              <w:br/>
              <w:t xml:space="preserve">  "protocol_version": "0.1",</w:t>
              <w:br/>
              <w:t xml:space="preserve">  "scenario_id": "protocol.poison.single_observer",</w:t>
              <w:br/>
              <w:t xml:space="preserve">  "seed": 42,</w:t>
              <w:br/>
              <w:t xml:space="preserve">  "topology": {},</w:t>
              <w:br/>
              <w:t xml:space="preserve">  "attacker": {},</w:t>
              <w:br/>
              <w:t xml:space="preserve">  "defense_configuration": {},</w:t>
              <w:br/>
              <w:t xml:space="preserve">  "metrics": {},</w:t>
              <w:br/>
              <w:t xml:space="preserve">  "artifacts": {"event_log": "...", "evidence_manifest": "..."},</w:t>
              <w:br/>
              <w:t xml:space="preserve">  "environment": {"cpu": "...", "memory": "...", "model": "optional"}</w:t>
              <w:br/>
              <w:t>}</w:t>
            </w:r>
          </w:p>
        </w:tc>
      </w:tr>
    </w:tbl>
    <w:p/>
    <w:p>
      <w:pPr>
        <w:pStyle w:val="Heading1"/>
      </w:pPr>
      <w:r>
        <w:t>8. Test-Bed and Implementation Plan</w:t>
      </w:r>
    </w:p>
    <w:p>
      <w:pPr>
        <w:pStyle w:val="Heading2"/>
      </w:pPr>
      <w:r>
        <w:t>8.1 Cheapest credible initial stack</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83B56"/>
            <w:vAlign w:val="center"/>
            <w:tcMar>
              <w:top w:w="100" w:type="dxa"/>
              <w:start w:w="120" w:type="dxa"/>
              <w:bottom w:w="100" w:type="dxa"/>
              <w:end w:w="120" w:type="dxa"/>
            </w:tcMar>
          </w:tcPr>
          <w:p>
            <w:pPr>
              <w:jc w:val="center"/>
            </w:pPr>
            <w:r>
              <w:rPr>
                <w:b/>
                <w:color w:val="FFFFFF"/>
                <w:sz w:val="18"/>
              </w:rPr>
              <w:t>Tool</w:t>
            </w:r>
          </w:p>
        </w:tc>
        <w:tc>
          <w:tcPr>
            <w:tcW w:type="dxa" w:w="3024"/>
            <w:shd w:fill="183B56"/>
            <w:vAlign w:val="center"/>
            <w:tcMar>
              <w:top w:w="100" w:type="dxa"/>
              <w:start w:w="120" w:type="dxa"/>
              <w:bottom w:w="100" w:type="dxa"/>
              <w:end w:w="120" w:type="dxa"/>
            </w:tcMar>
          </w:tcPr>
          <w:p>
            <w:pPr>
              <w:jc w:val="center"/>
            </w:pPr>
            <w:r>
              <w:rPr>
                <w:b/>
                <w:color w:val="FFFFFF"/>
                <w:sz w:val="18"/>
              </w:rPr>
              <w:t>Role</w:t>
            </w:r>
          </w:p>
        </w:tc>
        <w:tc>
          <w:tcPr>
            <w:tcW w:type="dxa" w:w="4608"/>
            <w:shd w:fill="183B56"/>
            <w:vAlign w:val="center"/>
            <w:tcMar>
              <w:top w:w="100" w:type="dxa"/>
              <w:start w:w="120" w:type="dxa"/>
              <w:bottom w:w="100" w:type="dxa"/>
              <w:end w:w="120" w:type="dxa"/>
            </w:tcMar>
          </w:tcPr>
          <w:p>
            <w:pPr>
              <w:jc w:val="center"/>
            </w:pPr>
            <w:r>
              <w:rPr>
                <w:b/>
                <w:color w:val="FFFFFF"/>
                <w:sz w:val="18"/>
              </w:rPr>
              <w:t>Why it is used</w:t>
            </w:r>
          </w:p>
        </w:tc>
      </w:tr>
      <w:tr>
        <w:tc>
          <w:tcPr>
            <w:tcW w:type="dxa" w:w="2304"/>
            <w:vAlign w:val="center"/>
            <w:tcMar>
              <w:top w:w="100" w:type="dxa"/>
              <w:start w:w="120" w:type="dxa"/>
              <w:bottom w:w="100" w:type="dxa"/>
              <w:end w:w="120" w:type="dxa"/>
            </w:tcMar>
          </w:tcPr>
          <w:p>
            <w:r>
              <w:rPr>
                <w:sz w:val="18"/>
              </w:rPr>
              <w:t>Maelstrom / Jepsen-style harness</w:t>
            </w:r>
          </w:p>
        </w:tc>
        <w:tc>
          <w:tcPr>
            <w:tcW w:type="dxa" w:w="3024"/>
            <w:vAlign w:val="center"/>
            <w:tcMar>
              <w:top w:w="100" w:type="dxa"/>
              <w:start w:w="120" w:type="dxa"/>
              <w:bottom w:w="100" w:type="dxa"/>
              <w:end w:w="120" w:type="dxa"/>
            </w:tcMar>
          </w:tcPr>
          <w:p>
            <w:r>
              <w:rPr>
                <w:sz w:val="18"/>
              </w:rPr>
              <w:t>Protocol simulation, partitions, pauses, kills, message faults</w:t>
            </w:r>
          </w:p>
        </w:tc>
        <w:tc>
          <w:tcPr>
            <w:tcW w:type="dxa" w:w="4608"/>
            <w:vAlign w:val="center"/>
            <w:tcMar>
              <w:top w:w="100" w:type="dxa"/>
              <w:start w:w="120" w:type="dxa"/>
              <w:bottom w:w="100" w:type="dxa"/>
              <w:end w:w="120" w:type="dxa"/>
            </w:tcMar>
          </w:tcPr>
          <w:p>
            <w:r>
              <w:rPr>
                <w:sz w:val="18"/>
              </w:rPr>
              <w:t>Tests distributed semantics before involving LLM cost or framework complexity</w:t>
            </w:r>
          </w:p>
        </w:tc>
      </w:tr>
      <w:tr>
        <w:tc>
          <w:tcPr>
            <w:tcW w:type="dxa" w:w="2304"/>
            <w:vAlign w:val="center"/>
            <w:tcMar>
              <w:top w:w="100" w:type="dxa"/>
              <w:start w:w="120" w:type="dxa"/>
              <w:bottom w:w="100" w:type="dxa"/>
              <w:end w:w="120" w:type="dxa"/>
            </w:tcMar>
            <w:shd w:fill="F1F5F8"/>
          </w:tcPr>
          <w:p>
            <w:r>
              <w:rPr>
                <w:sz w:val="18"/>
              </w:rPr>
              <w:t>AgentDojo</w:t>
            </w:r>
          </w:p>
        </w:tc>
        <w:tc>
          <w:tcPr>
            <w:tcW w:type="dxa" w:w="3024"/>
            <w:vAlign w:val="center"/>
            <w:tcMar>
              <w:top w:w="100" w:type="dxa"/>
              <w:start w:w="120" w:type="dxa"/>
              <w:bottom w:w="100" w:type="dxa"/>
              <w:end w:w="120" w:type="dxa"/>
            </w:tcMar>
            <w:shd w:fill="F1F5F8"/>
          </w:tcPr>
          <w:p>
            <w:r>
              <w:rPr>
                <w:sz w:val="18"/>
              </w:rPr>
              <w:t>Tool-using agent workloads and security tasks</w:t>
            </w:r>
          </w:p>
        </w:tc>
        <w:tc>
          <w:tcPr>
            <w:tcW w:type="dxa" w:w="4608"/>
            <w:vAlign w:val="center"/>
            <w:tcMar>
              <w:top w:w="100" w:type="dxa"/>
              <w:start w:w="120" w:type="dxa"/>
              <w:bottom w:w="100" w:type="dxa"/>
              <w:end w:w="120" w:type="dxa"/>
            </w:tcMar>
            <w:shd w:fill="F1F5F8"/>
          </w:tcPr>
          <w:p>
            <w:r>
              <w:rPr>
                <w:sz w:val="18"/>
              </w:rPr>
              <w:t>Provides realistic agent/tool scenarios and extensibility</w:t>
            </w:r>
          </w:p>
        </w:tc>
      </w:tr>
      <w:tr>
        <w:tc>
          <w:tcPr>
            <w:tcW w:type="dxa" w:w="2304"/>
            <w:vAlign w:val="center"/>
            <w:tcMar>
              <w:top w:w="100" w:type="dxa"/>
              <w:start w:w="120" w:type="dxa"/>
              <w:bottom w:w="100" w:type="dxa"/>
              <w:end w:w="120" w:type="dxa"/>
            </w:tcMar>
          </w:tcPr>
          <w:p>
            <w:r>
              <w:rPr>
                <w:sz w:val="18"/>
              </w:rPr>
              <w:t>Toxiproxy</w:t>
            </w:r>
          </w:p>
        </w:tc>
        <w:tc>
          <w:tcPr>
            <w:tcW w:type="dxa" w:w="3024"/>
            <w:vAlign w:val="center"/>
            <w:tcMar>
              <w:top w:w="100" w:type="dxa"/>
              <w:start w:w="120" w:type="dxa"/>
              <w:bottom w:w="100" w:type="dxa"/>
              <w:end w:w="120" w:type="dxa"/>
            </w:tcMar>
          </w:tcPr>
          <w:p>
            <w:r>
              <w:rPr>
                <w:sz w:val="18"/>
              </w:rPr>
              <w:t>Transport faults</w:t>
            </w:r>
          </w:p>
        </w:tc>
        <w:tc>
          <w:tcPr>
            <w:tcW w:type="dxa" w:w="4608"/>
            <w:vAlign w:val="center"/>
            <w:tcMar>
              <w:top w:w="100" w:type="dxa"/>
              <w:start w:w="120" w:type="dxa"/>
              <w:bottom w:w="100" w:type="dxa"/>
              <w:end w:w="120" w:type="dxa"/>
            </w:tcMar>
          </w:tcPr>
          <w:p>
            <w:r>
              <w:rPr>
                <w:sz w:val="18"/>
              </w:rPr>
              <w:t>Deterministic latency, resets, connectivity loss and bandwidth manipulation</w:t>
            </w:r>
          </w:p>
        </w:tc>
      </w:tr>
      <w:tr>
        <w:tc>
          <w:tcPr>
            <w:tcW w:type="dxa" w:w="2304"/>
            <w:vAlign w:val="center"/>
            <w:tcMar>
              <w:top w:w="100" w:type="dxa"/>
              <w:start w:w="120" w:type="dxa"/>
              <w:bottom w:w="100" w:type="dxa"/>
              <w:end w:w="120" w:type="dxa"/>
            </w:tcMar>
            <w:shd w:fill="F1F5F8"/>
          </w:tcPr>
          <w:p>
            <w:r>
              <w:rPr>
                <w:sz w:val="18"/>
              </w:rPr>
              <w:t>PyRIT or scripted attack driver</w:t>
            </w:r>
          </w:p>
        </w:tc>
        <w:tc>
          <w:tcPr>
            <w:tcW w:type="dxa" w:w="3024"/>
            <w:vAlign w:val="center"/>
            <w:tcMar>
              <w:top w:w="100" w:type="dxa"/>
              <w:start w:w="120" w:type="dxa"/>
              <w:bottom w:w="100" w:type="dxa"/>
              <w:end w:w="120" w:type="dxa"/>
            </w:tcMar>
            <w:shd w:fill="F1F5F8"/>
          </w:tcPr>
          <w:p>
            <w:r>
              <w:rPr>
                <w:sz w:val="18"/>
              </w:rPr>
              <w:t>Adaptive and generated attack campaigns</w:t>
            </w:r>
          </w:p>
        </w:tc>
        <w:tc>
          <w:tcPr>
            <w:tcW w:type="dxa" w:w="4608"/>
            <w:vAlign w:val="center"/>
            <w:tcMar>
              <w:top w:w="100" w:type="dxa"/>
              <w:start w:w="120" w:type="dxa"/>
              <w:bottom w:w="100" w:type="dxa"/>
              <w:end w:w="120" w:type="dxa"/>
            </w:tcMar>
            <w:shd w:fill="F1F5F8"/>
          </w:tcPr>
          <w:p>
            <w:r>
              <w:rPr>
                <w:sz w:val="18"/>
              </w:rPr>
              <w:t>Adds attacker variation after deterministic scenarios are stable</w:t>
            </w:r>
          </w:p>
        </w:tc>
      </w:tr>
      <w:tr>
        <w:tc>
          <w:tcPr>
            <w:tcW w:type="dxa" w:w="2304"/>
            <w:vAlign w:val="center"/>
            <w:tcMar>
              <w:top w:w="100" w:type="dxa"/>
              <w:start w:w="120" w:type="dxa"/>
              <w:bottom w:w="100" w:type="dxa"/>
              <w:end w:w="120" w:type="dxa"/>
            </w:tcMar>
          </w:tcPr>
          <w:p>
            <w:r>
              <w:rPr>
                <w:sz w:val="18"/>
              </w:rPr>
              <w:t>Docker Compose</w:t>
            </w:r>
          </w:p>
        </w:tc>
        <w:tc>
          <w:tcPr>
            <w:tcW w:type="dxa" w:w="3024"/>
            <w:vAlign w:val="center"/>
            <w:tcMar>
              <w:top w:w="100" w:type="dxa"/>
              <w:start w:w="120" w:type="dxa"/>
              <w:bottom w:w="100" w:type="dxa"/>
              <w:end w:w="120" w:type="dxa"/>
            </w:tcMar>
          </w:tcPr>
          <w:p>
            <w:r>
              <w:rPr>
                <w:sz w:val="18"/>
              </w:rPr>
              <w:t>Local multi-service orchestration</w:t>
            </w:r>
          </w:p>
        </w:tc>
        <w:tc>
          <w:tcPr>
            <w:tcW w:type="dxa" w:w="4608"/>
            <w:vAlign w:val="center"/>
            <w:tcMar>
              <w:top w:w="100" w:type="dxa"/>
              <w:start w:w="120" w:type="dxa"/>
              <w:bottom w:w="100" w:type="dxa"/>
              <w:end w:w="120" w:type="dxa"/>
            </w:tcMar>
          </w:tcPr>
          <w:p>
            <w:r>
              <w:rPr>
                <w:sz w:val="18"/>
              </w:rPr>
              <w:t>Low-cost reproducible execution on a development machine</w:t>
            </w:r>
          </w:p>
        </w:tc>
      </w:tr>
      <w:tr>
        <w:tc>
          <w:tcPr>
            <w:tcW w:type="dxa" w:w="2304"/>
            <w:vAlign w:val="center"/>
            <w:tcMar>
              <w:top w:w="100" w:type="dxa"/>
              <w:start w:w="120" w:type="dxa"/>
              <w:bottom w:w="100" w:type="dxa"/>
              <w:end w:w="120" w:type="dxa"/>
            </w:tcMar>
            <w:shd w:fill="F1F5F8"/>
          </w:tcPr>
          <w:p>
            <w:r>
              <w:rPr>
                <w:sz w:val="18"/>
              </w:rPr>
              <w:t>kind + Chaos Mesh, later</w:t>
            </w:r>
          </w:p>
        </w:tc>
        <w:tc>
          <w:tcPr>
            <w:tcW w:type="dxa" w:w="3024"/>
            <w:vAlign w:val="center"/>
            <w:tcMar>
              <w:top w:w="100" w:type="dxa"/>
              <w:start w:w="120" w:type="dxa"/>
              <w:bottom w:w="100" w:type="dxa"/>
              <w:end w:w="120" w:type="dxa"/>
            </w:tcMar>
            <w:shd w:fill="F1F5F8"/>
          </w:tcPr>
          <w:p>
            <w:r>
              <w:rPr>
                <w:sz w:val="18"/>
              </w:rPr>
              <w:t>Deployment realism and Kubernetes fault injection</w:t>
            </w:r>
          </w:p>
        </w:tc>
        <w:tc>
          <w:tcPr>
            <w:tcW w:type="dxa" w:w="4608"/>
            <w:vAlign w:val="center"/>
            <w:tcMar>
              <w:top w:w="100" w:type="dxa"/>
              <w:start w:w="120" w:type="dxa"/>
              <w:bottom w:w="100" w:type="dxa"/>
              <w:end w:w="120" w:type="dxa"/>
            </w:tcMar>
            <w:shd w:fill="F1F5F8"/>
          </w:tcPr>
          <w:p>
            <w:r>
              <w:rPr>
                <w:sz w:val="18"/>
              </w:rPr>
              <w:t>Validates sidecars, workload identity, pods, time/network/I/O faults</w:t>
            </w:r>
          </w:p>
        </w:tc>
      </w:tr>
      <w:tr>
        <w:tc>
          <w:tcPr>
            <w:tcW w:type="dxa" w:w="2304"/>
            <w:vAlign w:val="center"/>
            <w:tcMar>
              <w:top w:w="100" w:type="dxa"/>
              <w:start w:w="120" w:type="dxa"/>
              <w:bottom w:w="100" w:type="dxa"/>
              <w:end w:w="120" w:type="dxa"/>
            </w:tcMar>
          </w:tcPr>
          <w:p>
            <w:r>
              <w:rPr>
                <w:sz w:val="18"/>
              </w:rPr>
              <w:t>OpenTelemetry, later</w:t>
            </w:r>
          </w:p>
        </w:tc>
        <w:tc>
          <w:tcPr>
            <w:tcW w:type="dxa" w:w="3024"/>
            <w:vAlign w:val="center"/>
            <w:tcMar>
              <w:top w:w="100" w:type="dxa"/>
              <w:start w:w="120" w:type="dxa"/>
              <w:bottom w:w="100" w:type="dxa"/>
              <w:end w:w="120" w:type="dxa"/>
            </w:tcMar>
          </w:tcPr>
          <w:p>
            <w:r>
              <w:rPr>
                <w:sz w:val="18"/>
              </w:rPr>
              <w:t>Trace context and neutral telemetry integration</w:t>
            </w:r>
          </w:p>
        </w:tc>
        <w:tc>
          <w:tcPr>
            <w:tcW w:type="dxa" w:w="4608"/>
            <w:vAlign w:val="center"/>
            <w:tcMar>
              <w:top w:w="100" w:type="dxa"/>
              <w:start w:w="120" w:type="dxa"/>
              <w:bottom w:w="100" w:type="dxa"/>
              <w:end w:w="120" w:type="dxa"/>
            </w:tcMar>
          </w:tcPr>
          <w:p>
            <w:r>
              <w:rPr>
                <w:sz w:val="18"/>
              </w:rPr>
              <w:t>Carries correlation and observability without becoming the trust authority</w:t>
            </w:r>
          </w:p>
        </w:tc>
      </w:tr>
    </w:tbl>
    <w:p/>
    <w:p>
      <w:pPr>
        <w:pStyle w:val="Heading2"/>
      </w:pPr>
      <w:r>
        <w:t>8.2 Initial local topology</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Agent workload / protocol simulator</w:t>
              <w:br/>
              <w:t xml:space="preserve">   |-- Runtime observer</w:t>
              <w:br/>
              <w:t xml:space="preserve">   |-- Tool observer</w:t>
              <w:br/>
              <w:t xml:space="preserve">   |-- Memory observer</w:t>
              <w:br/>
              <w:t xml:space="preserve">   `-- Identity/policy observer</w:t>
              <w:br/>
              <w:t xml:space="preserve">            |</w:t>
              <w:br/>
              <w:t xml:space="preserve">       faultable links</w:t>
              <w:br/>
              <w:t xml:space="preserve">            |</w:t>
              <w:br/>
              <w:t xml:space="preserve">      3-7 trust nodes</w:t>
              <w:br/>
              <w:t xml:space="preserve">      |   |   |   |</w:t>
              <w:br/>
              <w:t xml:space="preserve">      + local decisions</w:t>
              <w:br/>
              <w:t xml:space="preserve">            |</w:t>
              <w:br/>
              <w:t xml:space="preserve">      response adapters</w:t>
              <w:br/>
              <w:br/>
              <w:t>One or more observers/trust nodes may be malicious. All accepted events are written to an append-only benchmark log.</w:t>
            </w:r>
          </w:p>
        </w:tc>
      </w:tr>
    </w:tbl>
    <w:p/>
    <w:p>
      <w:pPr>
        <w:pStyle w:val="Heading2"/>
      </w:pPr>
      <w:r>
        <w:t>8.3 Phased roadmap</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Phase</w:t>
            </w:r>
          </w:p>
        </w:tc>
        <w:tc>
          <w:tcPr>
            <w:tcW w:type="dxa" w:w="3744"/>
            <w:shd w:fill="183B56"/>
            <w:vAlign w:val="center"/>
            <w:tcMar>
              <w:top w:w="100" w:type="dxa"/>
              <w:start w:w="120" w:type="dxa"/>
              <w:bottom w:w="100" w:type="dxa"/>
              <w:end w:w="120" w:type="dxa"/>
            </w:tcMar>
          </w:tcPr>
          <w:p>
            <w:pPr>
              <w:jc w:val="center"/>
            </w:pPr>
            <w:r>
              <w:rPr>
                <w:b/>
                <w:color w:val="FFFFFF"/>
                <w:sz w:val="18"/>
              </w:rPr>
              <w:t>Objective</w:t>
            </w:r>
          </w:p>
        </w:tc>
        <w:tc>
          <w:tcPr>
            <w:tcW w:type="dxa" w:w="4464"/>
            <w:shd w:fill="183B56"/>
            <w:vAlign w:val="center"/>
            <w:tcMar>
              <w:top w:w="100" w:type="dxa"/>
              <w:start w:w="120" w:type="dxa"/>
              <w:bottom w:w="100" w:type="dxa"/>
              <w:end w:w="120" w:type="dxa"/>
            </w:tcMar>
          </w:tcPr>
          <w:p>
            <w:pPr>
              <w:jc w:val="center"/>
            </w:pPr>
            <w:r>
              <w:rPr>
                <w:b/>
                <w:color w:val="FFFFFF"/>
                <w:sz w:val="18"/>
              </w:rPr>
              <w:t>Exit criteria</w:t>
            </w:r>
          </w:p>
        </w:tc>
      </w:tr>
      <w:tr>
        <w:tc>
          <w:tcPr>
            <w:tcW w:type="dxa" w:w="1728"/>
            <w:vAlign w:val="center"/>
            <w:tcMar>
              <w:top w:w="100" w:type="dxa"/>
              <w:start w:w="120" w:type="dxa"/>
              <w:bottom w:w="100" w:type="dxa"/>
              <w:end w:w="120" w:type="dxa"/>
            </w:tcMar>
          </w:tcPr>
          <w:p>
            <w:r>
              <w:rPr>
                <w:sz w:val="18"/>
              </w:rPr>
              <w:t>0: Specification</w:t>
            </w:r>
          </w:p>
        </w:tc>
        <w:tc>
          <w:tcPr>
            <w:tcW w:type="dxa" w:w="3744"/>
            <w:vAlign w:val="center"/>
            <w:tcMar>
              <w:top w:w="100" w:type="dxa"/>
              <w:start w:w="120" w:type="dxa"/>
              <w:bottom w:w="100" w:type="dxa"/>
              <w:end w:w="120" w:type="dxa"/>
            </w:tcMar>
          </w:tcPr>
          <w:p>
            <w:r>
              <w:rPr>
                <w:sz w:val="18"/>
              </w:rPr>
              <w:t>Freeze testable v0.1 semantics and schemas</w:t>
            </w:r>
          </w:p>
        </w:tc>
        <w:tc>
          <w:tcPr>
            <w:tcW w:type="dxa" w:w="4464"/>
            <w:vAlign w:val="center"/>
            <w:tcMar>
              <w:top w:w="100" w:type="dxa"/>
              <w:start w:w="120" w:type="dxa"/>
              <w:bottom w:w="100" w:type="dxa"/>
              <w:end w:w="120" w:type="dxa"/>
            </w:tcMar>
          </w:tcPr>
          <w:p>
            <w:r>
              <w:rPr>
                <w:sz w:val="18"/>
              </w:rPr>
              <w:t>OATS/OATP draft, charter, JSON schema, threat model, initial conformance cases</w:t>
            </w:r>
          </w:p>
        </w:tc>
      </w:tr>
      <w:tr>
        <w:tc>
          <w:tcPr>
            <w:tcW w:type="dxa" w:w="1728"/>
            <w:vAlign w:val="center"/>
            <w:tcMar>
              <w:top w:w="100" w:type="dxa"/>
              <w:start w:w="120" w:type="dxa"/>
              <w:bottom w:w="100" w:type="dxa"/>
              <w:end w:w="120" w:type="dxa"/>
            </w:tcMar>
            <w:shd w:fill="F1F5F8"/>
          </w:tcPr>
          <w:p>
            <w:r>
              <w:rPr>
                <w:sz w:val="18"/>
              </w:rPr>
              <w:t>1: Protocol simulator</w:t>
            </w:r>
          </w:p>
        </w:tc>
        <w:tc>
          <w:tcPr>
            <w:tcW w:type="dxa" w:w="3744"/>
            <w:vAlign w:val="center"/>
            <w:tcMar>
              <w:top w:w="100" w:type="dxa"/>
              <w:start w:w="120" w:type="dxa"/>
              <w:bottom w:w="100" w:type="dxa"/>
              <w:end w:w="120" w:type="dxa"/>
            </w:tcMar>
            <w:shd w:fill="F1F5F8"/>
          </w:tcPr>
          <w:p>
            <w:r>
              <w:rPr>
                <w:sz w:val="18"/>
              </w:rPr>
              <w:t>Implement 5-20 lightweight nodes with no LLM</w:t>
            </w:r>
          </w:p>
        </w:tc>
        <w:tc>
          <w:tcPr>
            <w:tcW w:type="dxa" w:w="4464"/>
            <w:vAlign w:val="center"/>
            <w:tcMar>
              <w:top w:w="100" w:type="dxa"/>
              <w:start w:w="120" w:type="dxa"/>
              <w:bottom w:w="100" w:type="dxa"/>
              <w:end w:w="120" w:type="dxa"/>
            </w:tcMar>
            <w:shd w:fill="F1F5F8"/>
          </w:tcPr>
          <w:p>
            <w:r>
              <w:rPr>
                <w:sz w:val="18"/>
              </w:rPr>
              <w:t>Invariants pass under duplicate, replay, reorder, pause, crash and partition</w:t>
            </w:r>
          </w:p>
        </w:tc>
      </w:tr>
      <w:tr>
        <w:tc>
          <w:tcPr>
            <w:tcW w:type="dxa" w:w="1728"/>
            <w:vAlign w:val="center"/>
            <w:tcMar>
              <w:top w:w="100" w:type="dxa"/>
              <w:start w:w="120" w:type="dxa"/>
              <w:bottom w:w="100" w:type="dxa"/>
              <w:end w:w="120" w:type="dxa"/>
            </w:tcMar>
          </w:tcPr>
          <w:p>
            <w:r>
              <w:rPr>
                <w:sz w:val="18"/>
              </w:rPr>
              <w:t>2: Reference framework</w:t>
            </w:r>
          </w:p>
        </w:tc>
        <w:tc>
          <w:tcPr>
            <w:tcW w:type="dxa" w:w="3744"/>
            <w:vAlign w:val="center"/>
            <w:tcMar>
              <w:top w:w="100" w:type="dxa"/>
              <w:start w:w="120" w:type="dxa"/>
              <w:bottom w:w="100" w:type="dxa"/>
              <w:end w:w="120" w:type="dxa"/>
            </w:tcMar>
          </w:tcPr>
          <w:p>
            <w:r>
              <w:rPr>
                <w:sz w:val="18"/>
              </w:rPr>
              <w:t>Add observers, trust engine and response adapters</w:t>
            </w:r>
          </w:p>
        </w:tc>
        <w:tc>
          <w:tcPr>
            <w:tcW w:type="dxa" w:w="4464"/>
            <w:vAlign w:val="center"/>
            <w:tcMar>
              <w:top w:w="100" w:type="dxa"/>
              <w:start w:w="120" w:type="dxa"/>
              <w:bottom w:w="100" w:type="dxa"/>
              <w:end w:w="120" w:type="dxa"/>
            </w:tcMar>
          </w:tcPr>
          <w:p>
            <w:r>
              <w:rPr>
                <w:sz w:val="18"/>
              </w:rPr>
              <w:t>End-to-end deterministic scenarios and machine-readable logs</w:t>
            </w:r>
          </w:p>
        </w:tc>
      </w:tr>
      <w:tr>
        <w:tc>
          <w:tcPr>
            <w:tcW w:type="dxa" w:w="1728"/>
            <w:vAlign w:val="center"/>
            <w:tcMar>
              <w:top w:w="100" w:type="dxa"/>
              <w:start w:w="120" w:type="dxa"/>
              <w:bottom w:w="100" w:type="dxa"/>
              <w:end w:w="120" w:type="dxa"/>
            </w:tcMar>
            <w:shd w:fill="F1F5F8"/>
          </w:tcPr>
          <w:p>
            <w:r>
              <w:rPr>
                <w:sz w:val="18"/>
              </w:rPr>
              <w:t>3: Agent integration</w:t>
            </w:r>
          </w:p>
        </w:tc>
        <w:tc>
          <w:tcPr>
            <w:tcW w:type="dxa" w:w="3744"/>
            <w:vAlign w:val="center"/>
            <w:tcMar>
              <w:top w:w="100" w:type="dxa"/>
              <w:start w:w="120" w:type="dxa"/>
              <w:bottom w:w="100" w:type="dxa"/>
              <w:end w:w="120" w:type="dxa"/>
            </w:tcMar>
            <w:shd w:fill="F1F5F8"/>
          </w:tcPr>
          <w:p>
            <w:r>
              <w:rPr>
                <w:sz w:val="18"/>
              </w:rPr>
              <w:t>Connect AgentDojo or equivalent tool-using agents</w:t>
            </w:r>
          </w:p>
        </w:tc>
        <w:tc>
          <w:tcPr>
            <w:tcW w:type="dxa" w:w="4464"/>
            <w:vAlign w:val="center"/>
            <w:tcMar>
              <w:top w:w="100" w:type="dxa"/>
              <w:start w:w="120" w:type="dxa"/>
              <w:bottom w:w="100" w:type="dxa"/>
              <w:end w:w="120" w:type="dxa"/>
            </w:tcMar>
            <w:shd w:fill="F1F5F8"/>
          </w:tcPr>
          <w:p>
            <w:r>
              <w:rPr>
                <w:sz w:val="18"/>
              </w:rPr>
              <w:t>Measure attack success, utility, detection and containment</w:t>
            </w:r>
          </w:p>
        </w:tc>
      </w:tr>
      <w:tr>
        <w:tc>
          <w:tcPr>
            <w:tcW w:type="dxa" w:w="1728"/>
            <w:vAlign w:val="center"/>
            <w:tcMar>
              <w:top w:w="100" w:type="dxa"/>
              <w:start w:w="120" w:type="dxa"/>
              <w:bottom w:w="100" w:type="dxa"/>
              <w:end w:w="120" w:type="dxa"/>
            </w:tcMar>
          </w:tcPr>
          <w:p>
            <w:r>
              <w:rPr>
                <w:sz w:val="18"/>
              </w:rPr>
              <w:t>4: Adaptive attacks</w:t>
            </w:r>
          </w:p>
        </w:tc>
        <w:tc>
          <w:tcPr>
            <w:tcW w:type="dxa" w:w="3744"/>
            <w:vAlign w:val="center"/>
            <w:tcMar>
              <w:top w:w="100" w:type="dxa"/>
              <w:start w:w="120" w:type="dxa"/>
              <w:bottom w:w="100" w:type="dxa"/>
              <w:end w:w="120" w:type="dxa"/>
            </w:tcMar>
          </w:tcPr>
          <w:p>
            <w:r>
              <w:rPr>
                <w:sz w:val="18"/>
              </w:rPr>
              <w:t>Add PyRIT and mutated mixed campaigns</w:t>
            </w:r>
          </w:p>
        </w:tc>
        <w:tc>
          <w:tcPr>
            <w:tcW w:type="dxa" w:w="4464"/>
            <w:vAlign w:val="center"/>
            <w:tcMar>
              <w:top w:w="100" w:type="dxa"/>
              <w:start w:w="120" w:type="dxa"/>
              <w:bottom w:w="100" w:type="dxa"/>
              <w:end w:w="120" w:type="dxa"/>
            </w:tcMar>
          </w:tcPr>
          <w:p>
            <w:r>
              <w:rPr>
                <w:sz w:val="18"/>
              </w:rPr>
              <w:t>Results stable across seeds and attack variants</w:t>
            </w:r>
          </w:p>
        </w:tc>
      </w:tr>
      <w:tr>
        <w:tc>
          <w:tcPr>
            <w:tcW w:type="dxa" w:w="1728"/>
            <w:vAlign w:val="center"/>
            <w:tcMar>
              <w:top w:w="100" w:type="dxa"/>
              <w:start w:w="120" w:type="dxa"/>
              <w:bottom w:w="100" w:type="dxa"/>
              <w:end w:w="120" w:type="dxa"/>
            </w:tcMar>
            <w:shd w:fill="F1F5F8"/>
          </w:tcPr>
          <w:p>
            <w:r>
              <w:rPr>
                <w:sz w:val="18"/>
              </w:rPr>
              <w:t>5: Deployment realism</w:t>
            </w:r>
          </w:p>
        </w:tc>
        <w:tc>
          <w:tcPr>
            <w:tcW w:type="dxa" w:w="3744"/>
            <w:vAlign w:val="center"/>
            <w:tcMar>
              <w:top w:w="100" w:type="dxa"/>
              <w:start w:w="120" w:type="dxa"/>
              <w:bottom w:w="100" w:type="dxa"/>
              <w:end w:w="120" w:type="dxa"/>
            </w:tcMar>
            <w:shd w:fill="F1F5F8"/>
          </w:tcPr>
          <w:p>
            <w:r>
              <w:rPr>
                <w:sz w:val="18"/>
              </w:rPr>
              <w:t>Move to kind and Chaos Mesh</w:t>
            </w:r>
          </w:p>
        </w:tc>
        <w:tc>
          <w:tcPr>
            <w:tcW w:type="dxa" w:w="4464"/>
            <w:vAlign w:val="center"/>
            <w:tcMar>
              <w:top w:w="100" w:type="dxa"/>
              <w:start w:w="120" w:type="dxa"/>
              <w:bottom w:w="100" w:type="dxa"/>
              <w:end w:w="120" w:type="dxa"/>
            </w:tcMar>
            <w:shd w:fill="F1F5F8"/>
          </w:tcPr>
          <w:p>
            <w:r>
              <w:rPr>
                <w:sz w:val="18"/>
              </w:rPr>
              <w:t>Validate identity, rotation, service discovery and pod-level failure</w:t>
            </w:r>
          </w:p>
        </w:tc>
      </w:tr>
      <w:tr>
        <w:tc>
          <w:tcPr>
            <w:tcW w:type="dxa" w:w="1728"/>
            <w:vAlign w:val="center"/>
            <w:tcMar>
              <w:top w:w="100" w:type="dxa"/>
              <w:start w:w="120" w:type="dxa"/>
              <w:bottom w:w="100" w:type="dxa"/>
              <w:end w:w="120" w:type="dxa"/>
            </w:tcMar>
          </w:tcPr>
          <w:p>
            <w:r>
              <w:rPr>
                <w:sz w:val="18"/>
              </w:rPr>
              <w:t>6: Publication</w:t>
            </w:r>
          </w:p>
        </w:tc>
        <w:tc>
          <w:tcPr>
            <w:tcW w:type="dxa" w:w="3744"/>
            <w:vAlign w:val="center"/>
            <w:tcMar>
              <w:top w:w="100" w:type="dxa"/>
              <w:start w:w="120" w:type="dxa"/>
              <w:bottom w:w="100" w:type="dxa"/>
              <w:end w:w="120" w:type="dxa"/>
            </w:tcMar>
          </w:tcPr>
          <w:p>
            <w:r>
              <w:rPr>
                <w:sz w:val="18"/>
              </w:rPr>
              <w:t>Release benchmark, data, framework and paper</w:t>
            </w:r>
          </w:p>
        </w:tc>
        <w:tc>
          <w:tcPr>
            <w:tcW w:type="dxa" w:w="4464"/>
            <w:vAlign w:val="center"/>
            <w:tcMar>
              <w:top w:w="100" w:type="dxa"/>
              <w:start w:w="120" w:type="dxa"/>
              <w:bottom w:w="100" w:type="dxa"/>
              <w:end w:w="120" w:type="dxa"/>
            </w:tcMar>
          </w:tcPr>
          <w:p>
            <w:r>
              <w:rPr>
                <w:sz w:val="18"/>
              </w:rPr>
              <w:t>Independent reproduction instructions and public artifacts</w:t>
            </w:r>
          </w:p>
        </w:tc>
      </w:tr>
    </w:tbl>
    <w:p/>
    <w:p>
      <w:pPr>
        <w:pStyle w:val="Heading2"/>
      </w:pPr>
      <w:r>
        <w:t>8.4 Minimum viable milestone</w:t>
      </w:r>
    </w:p>
    <w:p>
      <w:pPr>
        <w:pStyle w:val="ListBullet"/>
      </w:pPr>
      <w:r>
        <w:t>Five trust nodes and three observer types.</w:t>
      </w:r>
    </w:p>
    <w:p>
      <w:pPr>
        <w:pStyle w:val="ListBullet"/>
      </w:pPr>
      <w:r>
        <w:t>Signed observation envelope with scope, TTL, sequence and evidence hash.</w:t>
      </w:r>
    </w:p>
    <w:p>
      <w:pPr>
        <w:pStyle w:val="ListBullet"/>
      </w:pPr>
      <w:r>
        <w:t>One deterministic trust algorithm.</w:t>
      </w:r>
    </w:p>
    <w:p>
      <w:pPr>
        <w:pStyle w:val="ListBullet"/>
      </w:pPr>
      <w:r>
        <w:t>Allow, constrain and quarantine response states.</w:t>
      </w:r>
    </w:p>
    <w:p>
      <w:pPr>
        <w:pStyle w:val="ListBullet"/>
      </w:pPr>
      <w:r>
        <w:t>Fault injection for replay, duplicate, delay, partition and one compromised observer.</w:t>
      </w:r>
    </w:p>
    <w:p>
      <w:pPr>
        <w:pStyle w:val="ListBullet"/>
      </w:pPr>
      <w:r>
        <w:t>Ten benchmark scenarios with raw logs and a summary report.</w:t>
      </w:r>
    </w:p>
    <w:p>
      <w:pPr>
        <w:pStyle w:val="ListBullet"/>
      </w:pPr>
      <w:r>
        <w:t>No external model API required for protocol-only tests.</w:t>
      </w:r>
    </w:p>
    <w:p>
      <w:pPr>
        <w:pStyle w:val="Heading1"/>
      </w:pPr>
      <w:r>
        <w:t>9. Governance and OAT-RFC Process</w:t>
      </w:r>
    </w:p>
    <w:p>
      <w:pPr>
        <w:pStyle w:val="Heading2"/>
      </w:pPr>
      <w:r>
        <w:t>9.1 Governance principles</w:t>
      </w:r>
    </w:p>
    <w:p>
      <w:pPr>
        <w:pStyle w:val="ListBullet"/>
      </w:pPr>
      <w:r>
        <w:t>Open participation and transparent decisions.</w:t>
      </w:r>
    </w:p>
    <w:p>
      <w:pPr>
        <w:pStyle w:val="ListBullet"/>
      </w:pPr>
      <w:r>
        <w:t>Vendor neutrality and implementation independence.</w:t>
      </w:r>
    </w:p>
    <w:p>
      <w:pPr>
        <w:pStyle w:val="ListBullet"/>
      </w:pPr>
      <w:r>
        <w:t>Evidence-driven protocol evolution.</w:t>
      </w:r>
    </w:p>
    <w:p>
      <w:pPr>
        <w:pStyle w:val="ListBullet"/>
      </w:pPr>
      <w:r>
        <w:t>Backward compatibility when practical.</w:t>
      </w:r>
    </w:p>
    <w:p>
      <w:pPr>
        <w:pStyle w:val="ListBullet"/>
      </w:pPr>
      <w:r>
        <w:t>Security and interoperability ahead of convenience or performance.</w:t>
      </w:r>
    </w:p>
    <w:p>
      <w:pPr>
        <w:pStyle w:val="ListBullet"/>
      </w:pPr>
      <w:r>
        <w:t>No implementation is authoritative solely because it is first or commercially sponsored.</w:t>
      </w:r>
    </w:p>
    <w:p>
      <w:pPr>
        <w:pStyle w:val="ListBullet"/>
      </w:pPr>
      <w:r>
        <w:t>The specifications, benchmark definitions, and conformance tests define correctness.</w:t>
      </w:r>
    </w:p>
    <w:p>
      <w:pPr>
        <w:pStyle w:val="Heading2"/>
      </w:pPr>
      <w:r>
        <w:t>9.2 OAT-RFC scope</w:t>
      </w:r>
    </w:p>
    <w:tbl>
      <w:tblPr>
        <w:tblStyle w:val="TableGrid"/>
        <w:tblW w:type="auto" w:w="0"/>
        <w:jc w:val="center"/>
        <w:tblLook w:firstColumn="1" w:firstRow="1" w:lastColumn="0" w:lastRow="0" w:noHBand="0" w:noVBand="1" w:val="04A0"/>
      </w:tblPr>
      <w:tblGrid>
        <w:gridCol w:w="4968"/>
        <w:gridCol w:w="4968"/>
      </w:tblGrid>
      <w:tr>
        <w:tc>
          <w:tcPr>
            <w:tcW w:type="dxa" w:w="1728"/>
            <w:shd w:fill="183B56"/>
            <w:vAlign w:val="center"/>
            <w:tcMar>
              <w:top w:w="100" w:type="dxa"/>
              <w:start w:w="120" w:type="dxa"/>
              <w:bottom w:w="100" w:type="dxa"/>
              <w:end w:w="120" w:type="dxa"/>
            </w:tcMar>
          </w:tcPr>
          <w:p>
            <w:pPr>
              <w:jc w:val="center"/>
            </w:pPr>
            <w:r>
              <w:rPr>
                <w:b/>
                <w:color w:val="FFFFFF"/>
                <w:sz w:val="18"/>
              </w:rPr>
              <w:t>Area</w:t>
            </w:r>
          </w:p>
        </w:tc>
        <w:tc>
          <w:tcPr>
            <w:tcW w:type="dxa" w:w="8208"/>
            <w:shd w:fill="183B56"/>
            <w:vAlign w:val="center"/>
            <w:tcMar>
              <w:top w:w="100" w:type="dxa"/>
              <w:start w:w="120" w:type="dxa"/>
              <w:bottom w:w="100" w:type="dxa"/>
              <w:end w:w="120" w:type="dxa"/>
            </w:tcMar>
          </w:tcPr>
          <w:p>
            <w:pPr>
              <w:jc w:val="center"/>
            </w:pPr>
            <w:r>
              <w:rPr>
                <w:b/>
                <w:color w:val="FFFFFF"/>
                <w:sz w:val="18"/>
              </w:rPr>
              <w:t>Examples of RFC subjects</w:t>
            </w:r>
          </w:p>
        </w:tc>
      </w:tr>
      <w:tr>
        <w:tc>
          <w:tcPr>
            <w:tcW w:type="dxa" w:w="1728"/>
            <w:vAlign w:val="center"/>
            <w:tcMar>
              <w:top w:w="100" w:type="dxa"/>
              <w:start w:w="120" w:type="dxa"/>
              <w:bottom w:w="100" w:type="dxa"/>
              <w:end w:w="120" w:type="dxa"/>
            </w:tcMar>
          </w:tcPr>
          <w:p>
            <w:r>
              <w:rPr>
                <w:sz w:val="18"/>
              </w:rPr>
              <w:t>OATP</w:t>
            </w:r>
          </w:p>
        </w:tc>
        <w:tc>
          <w:tcPr>
            <w:tcW w:type="dxa" w:w="8208"/>
            <w:vAlign w:val="center"/>
            <w:tcMar>
              <w:top w:w="100" w:type="dxa"/>
              <w:start w:w="120" w:type="dxa"/>
              <w:bottom w:w="100" w:type="dxa"/>
              <w:end w:w="120" w:type="dxa"/>
            </w:tcMar>
          </w:tcPr>
          <w:p>
            <w:r>
              <w:rPr>
                <w:sz w:val="18"/>
              </w:rPr>
              <w:t>Message types, observation schemas, signature rules, transport profiles, versioning, identity extensions</w:t>
            </w:r>
          </w:p>
        </w:tc>
      </w:tr>
      <w:tr>
        <w:tc>
          <w:tcPr>
            <w:tcW w:type="dxa" w:w="1728"/>
            <w:vAlign w:val="center"/>
            <w:tcMar>
              <w:top w:w="100" w:type="dxa"/>
              <w:start w:w="120" w:type="dxa"/>
              <w:bottom w:w="100" w:type="dxa"/>
              <w:end w:w="120" w:type="dxa"/>
            </w:tcMar>
            <w:shd w:fill="F1F5F8"/>
          </w:tcPr>
          <w:p>
            <w:r>
              <w:rPr>
                <w:sz w:val="18"/>
              </w:rPr>
              <w:t>OATS</w:t>
            </w:r>
          </w:p>
        </w:tc>
        <w:tc>
          <w:tcPr>
            <w:tcW w:type="dxa" w:w="8208"/>
            <w:vAlign w:val="center"/>
            <w:tcMar>
              <w:top w:w="100" w:type="dxa"/>
              <w:start w:w="120" w:type="dxa"/>
              <w:bottom w:w="100" w:type="dxa"/>
              <w:end w:w="120" w:type="dxa"/>
            </w:tcMar>
            <w:shd w:fill="F1F5F8"/>
          </w:tcPr>
          <w:p>
            <w:r>
              <w:rPr>
                <w:sz w:val="18"/>
              </w:rPr>
              <w:t>Threat models, trust lifecycle, state machines, containment, recovery, security assumptions</w:t>
            </w:r>
          </w:p>
        </w:tc>
      </w:tr>
      <w:tr>
        <w:tc>
          <w:tcPr>
            <w:tcW w:type="dxa" w:w="1728"/>
            <w:vAlign w:val="center"/>
            <w:tcMar>
              <w:top w:w="100" w:type="dxa"/>
              <w:start w:w="120" w:type="dxa"/>
              <w:bottom w:w="100" w:type="dxa"/>
              <w:end w:w="120" w:type="dxa"/>
            </w:tcMar>
          </w:tcPr>
          <w:p>
            <w:r>
              <w:rPr>
                <w:sz w:val="18"/>
              </w:rPr>
              <w:t>OATBench</w:t>
            </w:r>
          </w:p>
        </w:tc>
        <w:tc>
          <w:tcPr>
            <w:tcW w:type="dxa" w:w="8208"/>
            <w:vAlign w:val="center"/>
            <w:tcMar>
              <w:top w:w="100" w:type="dxa"/>
              <w:start w:w="120" w:type="dxa"/>
              <w:bottom w:w="100" w:type="dxa"/>
              <w:end w:w="120" w:type="dxa"/>
            </w:tcMar>
          </w:tcPr>
          <w:p>
            <w:r>
              <w:rPr>
                <w:sz w:val="18"/>
              </w:rPr>
              <w:t>Attack classes, workloads, metrics, scoring, reproducibility and datasets</w:t>
            </w:r>
          </w:p>
        </w:tc>
      </w:tr>
      <w:tr>
        <w:tc>
          <w:tcPr>
            <w:tcW w:type="dxa" w:w="1728"/>
            <w:vAlign w:val="center"/>
            <w:tcMar>
              <w:top w:w="100" w:type="dxa"/>
              <w:start w:w="120" w:type="dxa"/>
              <w:bottom w:w="100" w:type="dxa"/>
              <w:end w:w="120" w:type="dxa"/>
            </w:tcMar>
            <w:shd w:fill="F1F5F8"/>
          </w:tcPr>
          <w:p>
            <w:r>
              <w:rPr>
                <w:sz w:val="18"/>
              </w:rPr>
              <w:t>OATF</w:t>
            </w:r>
          </w:p>
        </w:tc>
        <w:tc>
          <w:tcPr>
            <w:tcW w:type="dxa" w:w="8208"/>
            <w:vAlign w:val="center"/>
            <w:tcMar>
              <w:top w:w="100" w:type="dxa"/>
              <w:start w:w="120" w:type="dxa"/>
              <w:bottom w:w="100" w:type="dxa"/>
              <w:end w:w="120" w:type="dxa"/>
            </w:tcMar>
            <w:shd w:fill="F1F5F8"/>
          </w:tcPr>
          <w:p>
            <w:r>
              <w:rPr>
                <w:sz w:val="18"/>
              </w:rPr>
              <w:t>Reference APIs, plugins, observers, simulations and developer tooling; must not silently redefine protocol semantics</w:t>
            </w:r>
          </w:p>
        </w:tc>
      </w:tr>
      <w:tr>
        <w:tc>
          <w:tcPr>
            <w:tcW w:type="dxa" w:w="1728"/>
            <w:vAlign w:val="center"/>
            <w:tcMar>
              <w:top w:w="100" w:type="dxa"/>
              <w:start w:w="120" w:type="dxa"/>
              <w:bottom w:w="100" w:type="dxa"/>
              <w:end w:w="120" w:type="dxa"/>
            </w:tcMar>
          </w:tcPr>
          <w:p>
            <w:r>
              <w:rPr>
                <w:sz w:val="18"/>
              </w:rPr>
              <w:t>Project</w:t>
            </w:r>
          </w:p>
        </w:tc>
        <w:tc>
          <w:tcPr>
            <w:tcW w:type="dxa" w:w="8208"/>
            <w:vAlign w:val="center"/>
            <w:tcMar>
              <w:top w:w="100" w:type="dxa"/>
              <w:start w:w="120" w:type="dxa"/>
              <w:bottom w:w="100" w:type="dxa"/>
              <w:end w:w="120" w:type="dxa"/>
            </w:tcMar>
          </w:tcPr>
          <w:p>
            <w:r>
              <w:rPr>
                <w:sz w:val="18"/>
              </w:rPr>
              <w:t>Charter, governance, licensing, trademark or project structure changes</w:t>
            </w:r>
          </w:p>
        </w:tc>
      </w:tr>
    </w:tbl>
    <w:p/>
    <w:p>
      <w:pPr>
        <w:pStyle w:val="Heading2"/>
      </w:pPr>
      <w:r>
        <w:t>9.3 RFC lifecycle</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183B56"/>
            <w:vAlign w:val="center"/>
            <w:tcMar>
              <w:top w:w="100" w:type="dxa"/>
              <w:start w:w="120" w:type="dxa"/>
              <w:bottom w:w="100" w:type="dxa"/>
              <w:end w:w="120" w:type="dxa"/>
            </w:tcMar>
          </w:tcPr>
          <w:p>
            <w:pPr>
              <w:jc w:val="center"/>
            </w:pPr>
            <w:r>
              <w:rPr>
                <w:b/>
                <w:color w:val="FFFFFF"/>
                <w:sz w:val="18"/>
              </w:rPr>
              <w:t>State</w:t>
            </w:r>
          </w:p>
        </w:tc>
        <w:tc>
          <w:tcPr>
            <w:tcW w:type="dxa" w:w="3456"/>
            <w:shd w:fill="183B56"/>
            <w:vAlign w:val="center"/>
            <w:tcMar>
              <w:top w:w="100" w:type="dxa"/>
              <w:start w:w="120" w:type="dxa"/>
              <w:bottom w:w="100" w:type="dxa"/>
              <w:end w:w="120" w:type="dxa"/>
            </w:tcMar>
          </w:tcPr>
          <w:p>
            <w:pPr>
              <w:jc w:val="center"/>
            </w:pPr>
            <w:r>
              <w:rPr>
                <w:b/>
                <w:color w:val="FFFFFF"/>
                <w:sz w:val="18"/>
              </w:rPr>
              <w:t>Meaning</w:t>
            </w:r>
          </w:p>
        </w:tc>
        <w:tc>
          <w:tcPr>
            <w:tcW w:type="dxa" w:w="5040"/>
            <w:shd w:fill="183B56"/>
            <w:vAlign w:val="center"/>
            <w:tcMar>
              <w:top w:w="100" w:type="dxa"/>
              <w:start w:w="120" w:type="dxa"/>
              <w:bottom w:w="100" w:type="dxa"/>
              <w:end w:w="120" w:type="dxa"/>
            </w:tcMar>
          </w:tcPr>
          <w:p>
            <w:pPr>
              <w:jc w:val="center"/>
            </w:pPr>
            <w:r>
              <w:rPr>
                <w:b/>
                <w:color w:val="FFFFFF"/>
                <w:sz w:val="18"/>
              </w:rPr>
              <w:t>Advancement evidence</w:t>
            </w:r>
          </w:p>
        </w:tc>
      </w:tr>
      <w:tr>
        <w:tc>
          <w:tcPr>
            <w:tcW w:type="dxa" w:w="1440"/>
            <w:vAlign w:val="center"/>
            <w:tcMar>
              <w:top w:w="100" w:type="dxa"/>
              <w:start w:w="120" w:type="dxa"/>
              <w:bottom w:w="100" w:type="dxa"/>
              <w:end w:w="120" w:type="dxa"/>
            </w:tcMar>
          </w:tcPr>
          <w:p>
            <w:r>
              <w:rPr>
                <w:sz w:val="18"/>
              </w:rPr>
              <w:t>Draft</w:t>
            </w:r>
          </w:p>
        </w:tc>
        <w:tc>
          <w:tcPr>
            <w:tcW w:type="dxa" w:w="3456"/>
            <w:vAlign w:val="center"/>
            <w:tcMar>
              <w:top w:w="100" w:type="dxa"/>
              <w:start w:w="120" w:type="dxa"/>
              <w:bottom w:w="100" w:type="dxa"/>
              <w:end w:w="120" w:type="dxa"/>
            </w:tcMar>
          </w:tcPr>
          <w:p>
            <w:r>
              <w:rPr>
                <w:sz w:val="18"/>
              </w:rPr>
              <w:t>Initial proposal; breaking changes permitted</w:t>
            </w:r>
          </w:p>
        </w:tc>
        <w:tc>
          <w:tcPr>
            <w:tcW w:type="dxa" w:w="5040"/>
            <w:vAlign w:val="center"/>
            <w:tcMar>
              <w:top w:w="100" w:type="dxa"/>
              <w:start w:w="120" w:type="dxa"/>
              <w:bottom w:w="100" w:type="dxa"/>
              <w:end w:w="120" w:type="dxa"/>
            </w:tcMar>
          </w:tcPr>
          <w:p>
            <w:r>
              <w:rPr>
                <w:sz w:val="18"/>
              </w:rPr>
              <w:t>Problem, motivation, design and open questions</w:t>
            </w:r>
          </w:p>
        </w:tc>
      </w:tr>
      <w:tr>
        <w:tc>
          <w:tcPr>
            <w:tcW w:type="dxa" w:w="1440"/>
            <w:vAlign w:val="center"/>
            <w:tcMar>
              <w:top w:w="100" w:type="dxa"/>
              <w:start w:w="120" w:type="dxa"/>
              <w:bottom w:w="100" w:type="dxa"/>
              <w:end w:w="120" w:type="dxa"/>
            </w:tcMar>
            <w:shd w:fill="F1F5F8"/>
          </w:tcPr>
          <w:p>
            <w:r>
              <w:rPr>
                <w:sz w:val="18"/>
              </w:rPr>
              <w:t>Discussion</w:t>
            </w:r>
          </w:p>
        </w:tc>
        <w:tc>
          <w:tcPr>
            <w:tcW w:type="dxa" w:w="3456"/>
            <w:vAlign w:val="center"/>
            <w:tcMar>
              <w:top w:w="100" w:type="dxa"/>
              <w:start w:w="120" w:type="dxa"/>
              <w:bottom w:w="100" w:type="dxa"/>
              <w:end w:w="120" w:type="dxa"/>
            </w:tcMar>
            <w:shd w:fill="F1F5F8"/>
          </w:tcPr>
          <w:p>
            <w:r>
              <w:rPr>
                <w:sz w:val="18"/>
              </w:rPr>
              <w:t>Open review and alternatives analysis</w:t>
            </w:r>
          </w:p>
        </w:tc>
        <w:tc>
          <w:tcPr>
            <w:tcW w:type="dxa" w:w="5040"/>
            <w:vAlign w:val="center"/>
            <w:tcMar>
              <w:top w:w="100" w:type="dxa"/>
              <w:start w:w="120" w:type="dxa"/>
              <w:bottom w:w="100" w:type="dxa"/>
              <w:end w:w="120" w:type="dxa"/>
            </w:tcMar>
            <w:shd w:fill="F1F5F8"/>
          </w:tcPr>
          <w:p>
            <w:r>
              <w:rPr>
                <w:sz w:val="18"/>
              </w:rPr>
              <w:t>Community and maintainer feedback; security analysis</w:t>
            </w:r>
          </w:p>
        </w:tc>
      </w:tr>
      <w:tr>
        <w:tc>
          <w:tcPr>
            <w:tcW w:type="dxa" w:w="1440"/>
            <w:vAlign w:val="center"/>
            <w:tcMar>
              <w:top w:w="100" w:type="dxa"/>
              <w:start w:w="120" w:type="dxa"/>
              <w:bottom w:w="100" w:type="dxa"/>
              <w:end w:w="120" w:type="dxa"/>
            </w:tcMar>
          </w:tcPr>
          <w:p>
            <w:r>
              <w:rPr>
                <w:sz w:val="18"/>
              </w:rPr>
              <w:t>Prototype</w:t>
            </w:r>
          </w:p>
        </w:tc>
        <w:tc>
          <w:tcPr>
            <w:tcW w:type="dxa" w:w="3456"/>
            <w:vAlign w:val="center"/>
            <w:tcMar>
              <w:top w:w="100" w:type="dxa"/>
              <w:start w:w="120" w:type="dxa"/>
              <w:bottom w:w="100" w:type="dxa"/>
              <w:end w:w="120" w:type="dxa"/>
            </w:tcMar>
          </w:tcPr>
          <w:p>
            <w:r>
              <w:rPr>
                <w:sz w:val="18"/>
              </w:rPr>
              <w:t>Working implementation exists</w:t>
            </w:r>
          </w:p>
        </w:tc>
        <w:tc>
          <w:tcPr>
            <w:tcW w:type="dxa" w:w="5040"/>
            <w:vAlign w:val="center"/>
            <w:tcMar>
              <w:top w:w="100" w:type="dxa"/>
              <w:start w:w="120" w:type="dxa"/>
              <w:bottom w:w="100" w:type="dxa"/>
              <w:end w:w="120" w:type="dxa"/>
            </w:tcMar>
          </w:tcPr>
          <w:p>
            <w:r>
              <w:rPr>
                <w:sz w:val="18"/>
              </w:rPr>
              <w:t>Code, tests, examples, initial benchmark results</w:t>
            </w:r>
          </w:p>
        </w:tc>
      </w:tr>
      <w:tr>
        <w:tc>
          <w:tcPr>
            <w:tcW w:type="dxa" w:w="1440"/>
            <w:vAlign w:val="center"/>
            <w:tcMar>
              <w:top w:w="100" w:type="dxa"/>
              <w:start w:w="120" w:type="dxa"/>
              <w:bottom w:w="100" w:type="dxa"/>
              <w:end w:w="120" w:type="dxa"/>
            </w:tcMar>
            <w:shd w:fill="F1F5F8"/>
          </w:tcPr>
          <w:p>
            <w:r>
              <w:rPr>
                <w:sz w:val="18"/>
              </w:rPr>
              <w:t>Experimental</w:t>
            </w:r>
          </w:p>
        </w:tc>
        <w:tc>
          <w:tcPr>
            <w:tcW w:type="dxa" w:w="3456"/>
            <w:vAlign w:val="center"/>
            <w:tcMar>
              <w:top w:w="100" w:type="dxa"/>
              <w:start w:w="120" w:type="dxa"/>
              <w:bottom w:w="100" w:type="dxa"/>
              <w:end w:w="120" w:type="dxa"/>
            </w:tcMar>
            <w:shd w:fill="F1F5F8"/>
          </w:tcPr>
          <w:p>
            <w:r>
              <w:rPr>
                <w:sz w:val="18"/>
              </w:rPr>
              <w:t>Operational and interoperability evaluation</w:t>
            </w:r>
          </w:p>
        </w:tc>
        <w:tc>
          <w:tcPr>
            <w:tcW w:type="dxa" w:w="5040"/>
            <w:vAlign w:val="center"/>
            <w:tcMar>
              <w:top w:w="100" w:type="dxa"/>
              <w:start w:w="120" w:type="dxa"/>
              <w:bottom w:w="100" w:type="dxa"/>
              <w:end w:w="120" w:type="dxa"/>
            </w:tcMar>
            <w:shd w:fill="F1F5F8"/>
          </w:tcPr>
          <w:p>
            <w:r>
              <w:rPr>
                <w:sz w:val="18"/>
              </w:rPr>
              <w:t>Multiple runs or implementations; reproducibility</w:t>
            </w:r>
          </w:p>
        </w:tc>
      </w:tr>
      <w:tr>
        <w:tc>
          <w:tcPr>
            <w:tcW w:type="dxa" w:w="1440"/>
            <w:vAlign w:val="center"/>
            <w:tcMar>
              <w:top w:w="100" w:type="dxa"/>
              <w:start w:w="120" w:type="dxa"/>
              <w:bottom w:w="100" w:type="dxa"/>
              <w:end w:w="120" w:type="dxa"/>
            </w:tcMar>
          </w:tcPr>
          <w:p>
            <w:r>
              <w:rPr>
                <w:sz w:val="18"/>
              </w:rPr>
              <w:t>Stable</w:t>
            </w:r>
          </w:p>
        </w:tc>
        <w:tc>
          <w:tcPr>
            <w:tcW w:type="dxa" w:w="3456"/>
            <w:vAlign w:val="center"/>
            <w:tcMar>
              <w:top w:w="100" w:type="dxa"/>
              <w:start w:w="120" w:type="dxa"/>
              <w:bottom w:w="100" w:type="dxa"/>
              <w:end w:w="120" w:type="dxa"/>
            </w:tcMar>
          </w:tcPr>
          <w:p>
            <w:r>
              <w:rPr>
                <w:sz w:val="18"/>
              </w:rPr>
              <w:t>Accepted as an official specification component</w:t>
            </w:r>
          </w:p>
        </w:tc>
        <w:tc>
          <w:tcPr>
            <w:tcW w:type="dxa" w:w="5040"/>
            <w:vAlign w:val="center"/>
            <w:tcMar>
              <w:top w:w="100" w:type="dxa"/>
              <w:start w:w="120" w:type="dxa"/>
              <w:bottom w:w="100" w:type="dxa"/>
              <w:end w:w="120" w:type="dxa"/>
            </w:tcMar>
          </w:tcPr>
          <w:p>
            <w:r>
              <w:rPr>
                <w:sz w:val="18"/>
              </w:rPr>
              <w:t>Conformance, compatibility, security and governance approval</w:t>
            </w:r>
          </w:p>
        </w:tc>
      </w:tr>
      <w:tr>
        <w:tc>
          <w:tcPr>
            <w:tcW w:type="dxa" w:w="1440"/>
            <w:vAlign w:val="center"/>
            <w:tcMar>
              <w:top w:w="100" w:type="dxa"/>
              <w:start w:w="120" w:type="dxa"/>
              <w:bottom w:w="100" w:type="dxa"/>
              <w:end w:w="120" w:type="dxa"/>
            </w:tcMar>
            <w:shd w:fill="F1F5F8"/>
          </w:tcPr>
          <w:p>
            <w:r>
              <w:rPr>
                <w:sz w:val="18"/>
              </w:rPr>
              <w:t>Deprecated</w:t>
            </w:r>
          </w:p>
        </w:tc>
        <w:tc>
          <w:tcPr>
            <w:tcW w:type="dxa" w:w="3456"/>
            <w:vAlign w:val="center"/>
            <w:tcMar>
              <w:top w:w="100" w:type="dxa"/>
              <w:start w:w="120" w:type="dxa"/>
              <w:bottom w:w="100" w:type="dxa"/>
              <w:end w:w="120" w:type="dxa"/>
            </w:tcMar>
            <w:shd w:fill="F1F5F8"/>
          </w:tcPr>
          <w:p>
            <w:r>
              <w:rPr>
                <w:sz w:val="18"/>
              </w:rPr>
              <w:t>Retained for compatibility but no longer recommended</w:t>
            </w:r>
          </w:p>
        </w:tc>
        <w:tc>
          <w:tcPr>
            <w:tcW w:type="dxa" w:w="5040"/>
            <w:vAlign w:val="center"/>
            <w:tcMar>
              <w:top w:w="100" w:type="dxa"/>
              <w:start w:w="120" w:type="dxa"/>
              <w:bottom w:w="100" w:type="dxa"/>
              <w:end w:w="120" w:type="dxa"/>
            </w:tcMar>
            <w:shd w:fill="F1F5F8"/>
          </w:tcPr>
          <w:p>
            <w:r>
              <w:rPr>
                <w:sz w:val="18"/>
              </w:rPr>
              <w:t>Replacement path and compatibility period</w:t>
            </w:r>
          </w:p>
        </w:tc>
      </w:tr>
    </w:tbl>
    <w:p/>
    <w:p>
      <w:pPr>
        <w:pStyle w:val="Heading2"/>
      </w:pPr>
      <w:r>
        <w:t>9.4 Required RFC sections</w:t>
      </w:r>
    </w:p>
    <w:p>
      <w:pPr>
        <w:pStyle w:val="ListBullet"/>
      </w:pPr>
      <w:r>
        <w:t>Abstract</w:t>
      </w:r>
    </w:p>
    <w:p>
      <w:pPr>
        <w:pStyle w:val="ListBullet"/>
      </w:pPr>
      <w:r>
        <w:t>Motivation</w:t>
      </w:r>
    </w:p>
    <w:p>
      <w:pPr>
        <w:pStyle w:val="ListBullet"/>
      </w:pPr>
      <w:r>
        <w:t>Problem statement</w:t>
      </w:r>
    </w:p>
    <w:p>
      <w:pPr>
        <w:pStyle w:val="ListBullet"/>
      </w:pPr>
      <w:r>
        <w:t>Background</w:t>
      </w:r>
    </w:p>
    <w:p>
      <w:pPr>
        <w:pStyle w:val="ListBullet"/>
      </w:pPr>
      <w:r>
        <w:t>Proposed design</w:t>
      </w:r>
    </w:p>
    <w:p>
      <w:pPr>
        <w:pStyle w:val="ListBullet"/>
      </w:pPr>
      <w:r>
        <w:t>Security considerations</w:t>
      </w:r>
    </w:p>
    <w:p>
      <w:pPr>
        <w:pStyle w:val="ListBullet"/>
      </w:pPr>
      <w:r>
        <w:t>Privacy considerations</w:t>
      </w:r>
    </w:p>
    <w:p>
      <w:pPr>
        <w:pStyle w:val="ListBullet"/>
      </w:pPr>
      <w:r>
        <w:t>Compatibility impact</w:t>
      </w:r>
    </w:p>
    <w:p>
      <w:pPr>
        <w:pStyle w:val="ListBullet"/>
      </w:pPr>
      <w:r>
        <w:t>Migration strategy</w:t>
      </w:r>
    </w:p>
    <w:p>
      <w:pPr>
        <w:pStyle w:val="ListBullet"/>
      </w:pPr>
      <w:r>
        <w:t>Reference implementation</w:t>
      </w:r>
    </w:p>
    <w:p>
      <w:pPr>
        <w:pStyle w:val="ListBullet"/>
      </w:pPr>
      <w:r>
        <w:t>Benchmark results when applicable</w:t>
      </w:r>
    </w:p>
    <w:p>
      <w:pPr>
        <w:pStyle w:val="ListBullet"/>
      </w:pPr>
      <w:r>
        <w:t>Alternatives considered</w:t>
      </w:r>
    </w:p>
    <w:p>
      <w:pPr>
        <w:pStyle w:val="ListBullet"/>
      </w:pPr>
      <w:r>
        <w:t>Open questions</w:t>
      </w:r>
    </w:p>
    <w:p>
      <w:pPr>
        <w:pStyle w:val="ListBullet"/>
      </w:pPr>
      <w:r>
        <w:t>References</w:t>
      </w:r>
    </w:p>
    <w:p>
      <w:pPr>
        <w:pStyle w:val="Heading2"/>
      </w:pPr>
      <w:r>
        <w:t>9.5 Mandatory security review</w:t>
      </w:r>
    </w:p>
    <w:p>
      <w:r>
        <w:t>Any protocol-affecting RFC must explicitly evaluate spoofing, replay, poisoning, Byzantine behavior, Sybil attacks, collusion, privilege escalation, downgrade, denial of service, partition behavior, privacy leakage, and recovery implications. An RFC without this section cannot advance beyond Draft.</w:t>
      </w:r>
    </w:p>
    <w:p>
      <w:pPr>
        <w:pStyle w:val="Heading2"/>
      </w:pPr>
      <w:r>
        <w:t>9.6 Decision priorities</w:t>
      </w:r>
    </w:p>
    <w:p>
      <w:pPr>
        <w:pStyle w:val="ListNumber"/>
      </w:pPr>
      <w:r>
        <w:t>Security</w:t>
      </w:r>
    </w:p>
    <w:p>
      <w:pPr>
        <w:pStyle w:val="ListNumber"/>
      </w:pPr>
      <w:r>
        <w:t>Correctness</w:t>
      </w:r>
    </w:p>
    <w:p>
      <w:pPr>
        <w:pStyle w:val="ListNumber"/>
      </w:pPr>
      <w:r>
        <w:t>Interoperability</w:t>
      </w:r>
    </w:p>
    <w:p>
      <w:pPr>
        <w:pStyle w:val="ListNumber"/>
      </w:pPr>
      <w:r>
        <w:t>Simplicity</w:t>
      </w:r>
    </w:p>
    <w:p>
      <w:pPr>
        <w:pStyle w:val="ListNumber"/>
      </w:pPr>
      <w:r>
        <w:t>Reproducibility</w:t>
      </w:r>
    </w:p>
    <w:p>
      <w:pPr>
        <w:pStyle w:val="ListNumber"/>
      </w:pPr>
      <w:r>
        <w:t>Privacy</w:t>
      </w:r>
    </w:p>
    <w:p>
      <w:pPr>
        <w:pStyle w:val="ListNumber"/>
      </w:pPr>
      <w:r>
        <w:t>Backward compatibility</w:t>
      </w:r>
    </w:p>
    <w:p>
      <w:pPr>
        <w:pStyle w:val="ListNumber"/>
      </w:pPr>
      <w:r>
        <w:t>Performance</w:t>
      </w:r>
    </w:p>
    <w:p>
      <w:pPr>
        <w:pStyle w:val="Heading2"/>
      </w:pPr>
      <w:r>
        <w:t>9.7 Initial RFC catalog</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RFC</w:t>
            </w:r>
          </w:p>
        </w:tc>
        <w:tc>
          <w:tcPr>
            <w:tcW w:type="dxa" w:w="3168"/>
            <w:shd w:fill="183B56"/>
            <w:vAlign w:val="center"/>
            <w:tcMar>
              <w:top w:w="100" w:type="dxa"/>
              <w:start w:w="120" w:type="dxa"/>
              <w:bottom w:w="100" w:type="dxa"/>
              <w:end w:w="120" w:type="dxa"/>
            </w:tcMar>
          </w:tcPr>
          <w:p>
            <w:pPr>
              <w:jc w:val="center"/>
            </w:pPr>
            <w:r>
              <w:rPr>
                <w:b/>
                <w:color w:val="FFFFFF"/>
                <w:sz w:val="18"/>
              </w:rPr>
              <w:t>Title</w:t>
            </w:r>
          </w:p>
        </w:tc>
        <w:tc>
          <w:tcPr>
            <w:tcW w:type="dxa" w:w="4464"/>
            <w:shd w:fill="183B56"/>
            <w:vAlign w:val="center"/>
            <w:tcMar>
              <w:top w:w="100" w:type="dxa"/>
              <w:start w:w="120" w:type="dxa"/>
              <w:bottom w:w="100" w:type="dxa"/>
              <w:end w:w="120" w:type="dxa"/>
            </w:tcMar>
          </w:tcPr>
          <w:p>
            <w:pPr>
              <w:jc w:val="center"/>
            </w:pPr>
            <w:r>
              <w:rPr>
                <w:b/>
                <w:color w:val="FFFFFF"/>
                <w:sz w:val="18"/>
              </w:rPr>
              <w:t>Purpose</w:t>
            </w:r>
          </w:p>
        </w:tc>
      </w:tr>
      <w:tr>
        <w:tc>
          <w:tcPr>
            <w:tcW w:type="dxa" w:w="1728"/>
            <w:vAlign w:val="center"/>
            <w:tcMar>
              <w:top w:w="100" w:type="dxa"/>
              <w:start w:w="120" w:type="dxa"/>
              <w:bottom w:w="100" w:type="dxa"/>
              <w:end w:w="120" w:type="dxa"/>
            </w:tcMar>
          </w:tcPr>
          <w:p>
            <w:r>
              <w:rPr>
                <w:sz w:val="18"/>
              </w:rPr>
              <w:t>OAT-RFC-0000</w:t>
            </w:r>
          </w:p>
        </w:tc>
        <w:tc>
          <w:tcPr>
            <w:tcW w:type="dxa" w:w="3168"/>
            <w:vAlign w:val="center"/>
            <w:tcMar>
              <w:top w:w="100" w:type="dxa"/>
              <w:start w:w="120" w:type="dxa"/>
              <w:bottom w:w="100" w:type="dxa"/>
              <w:end w:w="120" w:type="dxa"/>
            </w:tcMar>
          </w:tcPr>
          <w:p>
            <w:r>
              <w:rPr>
                <w:sz w:val="18"/>
              </w:rPr>
              <w:t>Project Charter</w:t>
            </w:r>
          </w:p>
        </w:tc>
        <w:tc>
          <w:tcPr>
            <w:tcW w:type="dxa" w:w="4464"/>
            <w:vAlign w:val="center"/>
            <w:tcMar>
              <w:top w:w="100" w:type="dxa"/>
              <w:start w:w="120" w:type="dxa"/>
              <w:bottom w:w="100" w:type="dxa"/>
              <w:end w:w="120" w:type="dxa"/>
            </w:tcMar>
          </w:tcPr>
          <w:p>
            <w:r>
              <w:rPr>
                <w:sz w:val="18"/>
              </w:rPr>
              <w:t>Mission, neutrality, governance, project components, guiding principles and amendment rules</w:t>
            </w:r>
          </w:p>
        </w:tc>
      </w:tr>
      <w:tr>
        <w:tc>
          <w:tcPr>
            <w:tcW w:type="dxa" w:w="1728"/>
            <w:vAlign w:val="center"/>
            <w:tcMar>
              <w:top w:w="100" w:type="dxa"/>
              <w:start w:w="120" w:type="dxa"/>
              <w:bottom w:w="100" w:type="dxa"/>
              <w:end w:w="120" w:type="dxa"/>
            </w:tcMar>
            <w:shd w:fill="F1F5F8"/>
          </w:tcPr>
          <w:p>
            <w:r>
              <w:rPr>
                <w:sz w:val="18"/>
              </w:rPr>
              <w:t>OAT-RFC-0001</w:t>
            </w:r>
          </w:p>
        </w:tc>
        <w:tc>
          <w:tcPr>
            <w:tcW w:type="dxa" w:w="3168"/>
            <w:vAlign w:val="center"/>
            <w:tcMar>
              <w:top w:w="100" w:type="dxa"/>
              <w:start w:w="120" w:type="dxa"/>
              <w:bottom w:w="100" w:type="dxa"/>
              <w:end w:w="120" w:type="dxa"/>
            </w:tcMar>
            <w:shd w:fill="F1F5F8"/>
          </w:tcPr>
          <w:p>
            <w:r>
              <w:rPr>
                <w:sz w:val="18"/>
              </w:rPr>
              <w:t>Observation Envelope</w:t>
            </w:r>
          </w:p>
        </w:tc>
        <w:tc>
          <w:tcPr>
            <w:tcW w:type="dxa" w:w="4464"/>
            <w:vAlign w:val="center"/>
            <w:tcMar>
              <w:top w:w="100" w:type="dxa"/>
              <w:start w:w="120" w:type="dxa"/>
              <w:bottom w:w="100" w:type="dxa"/>
              <w:end w:w="120" w:type="dxa"/>
            </w:tcMar>
            <w:shd w:fill="F1F5F8"/>
          </w:tcPr>
          <w:p>
            <w:r>
              <w:rPr>
                <w:sz w:val="18"/>
              </w:rPr>
              <w:t>Core immutable observation schema and canonicalization</w:t>
            </w:r>
          </w:p>
        </w:tc>
      </w:tr>
      <w:tr>
        <w:tc>
          <w:tcPr>
            <w:tcW w:type="dxa" w:w="1728"/>
            <w:vAlign w:val="center"/>
            <w:tcMar>
              <w:top w:w="100" w:type="dxa"/>
              <w:start w:w="120" w:type="dxa"/>
              <w:bottom w:w="100" w:type="dxa"/>
              <w:end w:w="120" w:type="dxa"/>
            </w:tcMar>
          </w:tcPr>
          <w:p>
            <w:r>
              <w:rPr>
                <w:sz w:val="18"/>
              </w:rPr>
              <w:t>OAT-RFC-0002</w:t>
            </w:r>
          </w:p>
        </w:tc>
        <w:tc>
          <w:tcPr>
            <w:tcW w:type="dxa" w:w="3168"/>
            <w:vAlign w:val="center"/>
            <w:tcMar>
              <w:top w:w="100" w:type="dxa"/>
              <w:start w:w="120" w:type="dxa"/>
              <w:bottom w:w="100" w:type="dxa"/>
              <w:end w:w="120" w:type="dxa"/>
            </w:tcMar>
          </w:tcPr>
          <w:p>
            <w:r>
              <w:rPr>
                <w:sz w:val="18"/>
              </w:rPr>
              <w:t>Trust Lifecycle Profile</w:t>
            </w:r>
          </w:p>
        </w:tc>
        <w:tc>
          <w:tcPr>
            <w:tcW w:type="dxa" w:w="4464"/>
            <w:vAlign w:val="center"/>
            <w:tcMar>
              <w:top w:w="100" w:type="dxa"/>
              <w:start w:w="120" w:type="dxa"/>
              <w:bottom w:w="100" w:type="dxa"/>
              <w:end w:w="120" w:type="dxa"/>
            </w:tcMar>
          </w:tcPr>
          <w:p>
            <w:r>
              <w:rPr>
                <w:sz w:val="18"/>
              </w:rPr>
              <w:t>Common externally observable lifecycle states</w:t>
            </w:r>
          </w:p>
        </w:tc>
      </w:tr>
      <w:tr>
        <w:tc>
          <w:tcPr>
            <w:tcW w:type="dxa" w:w="1728"/>
            <w:vAlign w:val="center"/>
            <w:tcMar>
              <w:top w:w="100" w:type="dxa"/>
              <w:start w:w="120" w:type="dxa"/>
              <w:bottom w:w="100" w:type="dxa"/>
              <w:end w:w="120" w:type="dxa"/>
            </w:tcMar>
            <w:shd w:fill="F1F5F8"/>
          </w:tcPr>
          <w:p>
            <w:r>
              <w:rPr>
                <w:sz w:val="18"/>
              </w:rPr>
              <w:t>OAT-RFC-0003</w:t>
            </w:r>
          </w:p>
        </w:tc>
        <w:tc>
          <w:tcPr>
            <w:tcW w:type="dxa" w:w="3168"/>
            <w:vAlign w:val="center"/>
            <w:tcMar>
              <w:top w:w="100" w:type="dxa"/>
              <w:start w:w="120" w:type="dxa"/>
              <w:bottom w:w="100" w:type="dxa"/>
              <w:end w:w="120" w:type="dxa"/>
            </w:tcMar>
            <w:shd w:fill="F1F5F8"/>
          </w:tcPr>
          <w:p>
            <w:r>
              <w:rPr>
                <w:sz w:val="18"/>
              </w:rPr>
              <w:t>Evidence References</w:t>
            </w:r>
          </w:p>
        </w:tc>
        <w:tc>
          <w:tcPr>
            <w:tcW w:type="dxa" w:w="4464"/>
            <w:vAlign w:val="center"/>
            <w:tcMar>
              <w:top w:w="100" w:type="dxa"/>
              <w:start w:w="120" w:type="dxa"/>
              <w:bottom w:w="100" w:type="dxa"/>
              <w:end w:w="120" w:type="dxa"/>
            </w:tcMar>
            <w:shd w:fill="F1F5F8"/>
          </w:tcPr>
          <w:p>
            <w:r>
              <w:rPr>
                <w:sz w:val="18"/>
              </w:rPr>
              <w:t>Digest, provenance, receipt and controlled evidence retrieval model</w:t>
            </w:r>
          </w:p>
        </w:tc>
      </w:tr>
      <w:tr>
        <w:tc>
          <w:tcPr>
            <w:tcW w:type="dxa" w:w="1728"/>
            <w:vAlign w:val="center"/>
            <w:tcMar>
              <w:top w:w="100" w:type="dxa"/>
              <w:start w:w="120" w:type="dxa"/>
              <w:bottom w:w="100" w:type="dxa"/>
              <w:end w:w="120" w:type="dxa"/>
            </w:tcMar>
          </w:tcPr>
          <w:p>
            <w:r>
              <w:rPr>
                <w:sz w:val="18"/>
              </w:rPr>
              <w:t>OAT-RFC-0004</w:t>
            </w:r>
          </w:p>
        </w:tc>
        <w:tc>
          <w:tcPr>
            <w:tcW w:type="dxa" w:w="3168"/>
            <w:vAlign w:val="center"/>
            <w:tcMar>
              <w:top w:w="100" w:type="dxa"/>
              <w:start w:w="120" w:type="dxa"/>
              <w:bottom w:w="100" w:type="dxa"/>
              <w:end w:w="120" w:type="dxa"/>
            </w:tcMar>
          </w:tcPr>
          <w:p>
            <w:r>
              <w:rPr>
                <w:sz w:val="18"/>
              </w:rPr>
              <w:t>Memory Provenance Profile</w:t>
            </w:r>
          </w:p>
        </w:tc>
        <w:tc>
          <w:tcPr>
            <w:tcW w:type="dxa" w:w="4464"/>
            <w:vAlign w:val="center"/>
            <w:tcMar>
              <w:top w:w="100" w:type="dxa"/>
              <w:start w:w="120" w:type="dxa"/>
              <w:bottom w:w="100" w:type="dxa"/>
              <w:end w:w="120" w:type="dxa"/>
            </w:tcMar>
          </w:tcPr>
          <w:p>
            <w:r>
              <w:rPr>
                <w:sz w:val="18"/>
              </w:rPr>
              <w:t>Observation types and lineage semantics for agent memory</w:t>
            </w:r>
          </w:p>
        </w:tc>
      </w:tr>
      <w:tr>
        <w:tc>
          <w:tcPr>
            <w:tcW w:type="dxa" w:w="1728"/>
            <w:vAlign w:val="center"/>
            <w:tcMar>
              <w:top w:w="100" w:type="dxa"/>
              <w:start w:w="120" w:type="dxa"/>
              <w:bottom w:w="100" w:type="dxa"/>
              <w:end w:w="120" w:type="dxa"/>
            </w:tcMar>
            <w:shd w:fill="F1F5F8"/>
          </w:tcPr>
          <w:p>
            <w:r>
              <w:rPr>
                <w:sz w:val="18"/>
              </w:rPr>
              <w:t>OAT-RFC-0005</w:t>
            </w:r>
          </w:p>
        </w:tc>
        <w:tc>
          <w:tcPr>
            <w:tcW w:type="dxa" w:w="3168"/>
            <w:vAlign w:val="center"/>
            <w:tcMar>
              <w:top w:w="100" w:type="dxa"/>
              <w:start w:w="120" w:type="dxa"/>
              <w:bottom w:w="100" w:type="dxa"/>
              <w:end w:w="120" w:type="dxa"/>
            </w:tcMar>
            <w:shd w:fill="F1F5F8"/>
          </w:tcPr>
          <w:p>
            <w:r>
              <w:rPr>
                <w:sz w:val="18"/>
              </w:rPr>
              <w:t>Replay and Freshness Protection</w:t>
            </w:r>
          </w:p>
        </w:tc>
        <w:tc>
          <w:tcPr>
            <w:tcW w:type="dxa" w:w="4464"/>
            <w:vAlign w:val="center"/>
            <w:tcMar>
              <w:top w:w="100" w:type="dxa"/>
              <w:start w:w="120" w:type="dxa"/>
              <w:bottom w:w="100" w:type="dxa"/>
              <w:end w:w="120" w:type="dxa"/>
            </w:tcMar>
            <w:shd w:fill="F1F5F8"/>
          </w:tcPr>
          <w:p>
            <w:r>
              <w:rPr>
                <w:sz w:val="18"/>
              </w:rPr>
              <w:t>Sequence, nonce, TTL, clock skew and synchronization rules</w:t>
            </w:r>
          </w:p>
        </w:tc>
      </w:tr>
      <w:tr>
        <w:tc>
          <w:tcPr>
            <w:tcW w:type="dxa" w:w="1728"/>
            <w:vAlign w:val="center"/>
            <w:tcMar>
              <w:top w:w="100" w:type="dxa"/>
              <w:start w:w="120" w:type="dxa"/>
              <w:bottom w:w="100" w:type="dxa"/>
              <w:end w:w="120" w:type="dxa"/>
            </w:tcMar>
          </w:tcPr>
          <w:p>
            <w:r>
              <w:rPr>
                <w:sz w:val="18"/>
              </w:rPr>
              <w:t>OAT-RFC-0006</w:t>
            </w:r>
          </w:p>
        </w:tc>
        <w:tc>
          <w:tcPr>
            <w:tcW w:type="dxa" w:w="3168"/>
            <w:vAlign w:val="center"/>
            <w:tcMar>
              <w:top w:w="100" w:type="dxa"/>
              <w:start w:w="120" w:type="dxa"/>
              <w:bottom w:w="100" w:type="dxa"/>
              <w:end w:w="120" w:type="dxa"/>
            </w:tcMar>
          </w:tcPr>
          <w:p>
            <w:r>
              <w:rPr>
                <w:sz w:val="18"/>
              </w:rPr>
              <w:t>Trust-Domain Corroboration</w:t>
            </w:r>
          </w:p>
        </w:tc>
        <w:tc>
          <w:tcPr>
            <w:tcW w:type="dxa" w:w="4464"/>
            <w:vAlign w:val="center"/>
            <w:tcMar>
              <w:top w:w="100" w:type="dxa"/>
              <w:start w:w="120" w:type="dxa"/>
              <w:bottom w:w="100" w:type="dxa"/>
              <w:end w:w="120" w:type="dxa"/>
            </w:tcMar>
          </w:tcPr>
          <w:p>
            <w:r>
              <w:rPr>
                <w:sz w:val="18"/>
              </w:rPr>
              <w:t>Identity diversity and Sybil-resistance metadata</w:t>
            </w:r>
          </w:p>
        </w:tc>
      </w:tr>
      <w:tr>
        <w:tc>
          <w:tcPr>
            <w:tcW w:type="dxa" w:w="1728"/>
            <w:vAlign w:val="center"/>
            <w:tcMar>
              <w:top w:w="100" w:type="dxa"/>
              <w:start w:w="120" w:type="dxa"/>
              <w:bottom w:w="100" w:type="dxa"/>
              <w:end w:w="120" w:type="dxa"/>
            </w:tcMar>
            <w:shd w:fill="F1F5F8"/>
          </w:tcPr>
          <w:p>
            <w:r>
              <w:rPr>
                <w:sz w:val="18"/>
              </w:rPr>
              <w:t>OAT-RFC-0007</w:t>
            </w:r>
          </w:p>
        </w:tc>
        <w:tc>
          <w:tcPr>
            <w:tcW w:type="dxa" w:w="3168"/>
            <w:vAlign w:val="center"/>
            <w:tcMar>
              <w:top w:w="100" w:type="dxa"/>
              <w:start w:w="120" w:type="dxa"/>
              <w:bottom w:w="100" w:type="dxa"/>
              <w:end w:w="120" w:type="dxa"/>
            </w:tcMar>
            <w:shd w:fill="F1F5F8"/>
          </w:tcPr>
          <w:p>
            <w:r>
              <w:rPr>
                <w:sz w:val="18"/>
              </w:rPr>
              <w:t>Agent Runtime Profile</w:t>
            </w:r>
          </w:p>
        </w:tc>
        <w:tc>
          <w:tcPr>
            <w:tcW w:type="dxa" w:w="4464"/>
            <w:vAlign w:val="center"/>
            <w:tcMar>
              <w:top w:w="100" w:type="dxa"/>
              <w:start w:w="120" w:type="dxa"/>
              <w:bottom w:w="100" w:type="dxa"/>
              <w:end w:w="120" w:type="dxa"/>
            </w:tcMar>
            <w:shd w:fill="F1F5F8"/>
          </w:tcPr>
          <w:p>
            <w:r>
              <w:rPr>
                <w:sz w:val="18"/>
              </w:rPr>
              <w:t>Mapping OATP to tool-using AI agent environments</w:t>
            </w:r>
          </w:p>
        </w:tc>
      </w:tr>
      <w:tr>
        <w:tc>
          <w:tcPr>
            <w:tcW w:type="dxa" w:w="1728"/>
            <w:vAlign w:val="center"/>
            <w:tcMar>
              <w:top w:w="100" w:type="dxa"/>
              <w:start w:w="120" w:type="dxa"/>
              <w:bottom w:w="100" w:type="dxa"/>
              <w:end w:w="120" w:type="dxa"/>
            </w:tcMar>
          </w:tcPr>
          <w:p>
            <w:r>
              <w:rPr>
                <w:sz w:val="18"/>
              </w:rPr>
              <w:t>OAT-RFC-0008</w:t>
            </w:r>
          </w:p>
        </w:tc>
        <w:tc>
          <w:tcPr>
            <w:tcW w:type="dxa" w:w="3168"/>
            <w:vAlign w:val="center"/>
            <w:tcMar>
              <w:top w:w="100" w:type="dxa"/>
              <w:start w:w="120" w:type="dxa"/>
              <w:bottom w:w="100" w:type="dxa"/>
              <w:end w:w="120" w:type="dxa"/>
            </w:tcMar>
          </w:tcPr>
          <w:p>
            <w:r>
              <w:rPr>
                <w:sz w:val="18"/>
              </w:rPr>
              <w:t>Benchmark Result Format</w:t>
            </w:r>
          </w:p>
        </w:tc>
        <w:tc>
          <w:tcPr>
            <w:tcW w:type="dxa" w:w="4464"/>
            <w:vAlign w:val="center"/>
            <w:tcMar>
              <w:top w:w="100" w:type="dxa"/>
              <w:start w:w="120" w:type="dxa"/>
              <w:bottom w:w="100" w:type="dxa"/>
              <w:end w:w="120" w:type="dxa"/>
            </w:tcMar>
          </w:tcPr>
          <w:p>
            <w:r>
              <w:rPr>
                <w:sz w:val="18"/>
              </w:rPr>
              <w:t>Machine-readable OATBench result and artifact schema</w:t>
            </w:r>
          </w:p>
        </w:tc>
      </w:tr>
    </w:tbl>
    <w:p/>
    <w:p>
      <w:pPr>
        <w:pStyle w:val="Heading1"/>
      </w:pPr>
      <w:r>
        <w:t>10. Repository and Deliverables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open-autonomous-trust/</w:t>
              <w:br/>
              <w:t xml:space="preserve">  charter/</w:t>
              <w:br/>
              <w:t xml:space="preserve">    OAT-RFC-0000.md</w:t>
              <w:br/>
              <w:t xml:space="preserve">  spec/</w:t>
              <w:br/>
              <w:t xml:space="preserve">    oats/</w:t>
              <w:br/>
              <w:t xml:space="preserve">    oatp/</w:t>
              <w:br/>
              <w:t xml:space="preserve">    schemas/</w:t>
              <w:br/>
              <w:t xml:space="preserve">    profiles/</w:t>
              <w:br/>
              <w:t xml:space="preserve">  rfcs/</w:t>
              <w:br/>
              <w:t xml:space="preserve">  framework/</w:t>
              <w:br/>
              <w:t xml:space="preserve">    oatf/</w:t>
              <w:br/>
              <w:t xml:space="preserve">    tests/</w:t>
              <w:br/>
              <w:t xml:space="preserve">    examples/</w:t>
              <w:br/>
              <w:t xml:space="preserve">  benchmark/</w:t>
              <w:br/>
              <w:t xml:space="preserve">    scenarios/</w:t>
              <w:br/>
              <w:t xml:space="preserve">    attacks/</w:t>
              <w:br/>
              <w:t xml:space="preserve">    workloads/</w:t>
              <w:br/>
              <w:t xml:space="preserve">    metrics/</w:t>
              <w:br/>
              <w:t xml:space="preserve">    harnesses/</w:t>
              <w:br/>
              <w:t xml:space="preserve">    results/</w:t>
              <w:br/>
              <w:t xml:space="preserve">  integrations/</w:t>
              <w:br/>
              <w:t xml:space="preserve">    agentdojo/</w:t>
              <w:br/>
              <w:t xml:space="preserve">    maelstrom/</w:t>
              <w:br/>
              <w:t xml:space="preserve">    toxiproxy/</w:t>
              <w:br/>
              <w:t xml:space="preserve">    pyrit/</w:t>
              <w:br/>
              <w:t xml:space="preserve">    opentelemetry/</w:t>
              <w:br/>
              <w:t xml:space="preserve">  docs/</w:t>
              <w:br/>
              <w:t xml:space="preserve">  paper/</w:t>
              <w:br/>
              <w:t xml:space="preserve">  governance/</w:t>
              <w:br/>
              <w:t xml:space="preserve">  LICENSE</w:t>
              <w:br/>
              <w:t xml:space="preserve">  CONTRIBUTING.md</w:t>
              <w:br/>
              <w:t xml:space="preserve">  SECURITY.md</w:t>
              <w:br/>
              <w:t xml:space="preserve">  CODE_OF_CONDUCT.md</w:t>
            </w:r>
          </w:p>
        </w:tc>
      </w:tr>
    </w:tbl>
    <w:p/>
    <w:p>
      <w:pPr>
        <w:pStyle w:val="Heading2"/>
      </w:pPr>
      <w:r>
        <w:t>10.1 Initial open-source deliverables</w:t>
      </w:r>
    </w:p>
    <w:p>
      <w:pPr>
        <w:pStyle w:val="ListBullet"/>
      </w:pPr>
      <w:r>
        <w:t>OATP v0.1 specification and JSON Schema.</w:t>
      </w:r>
    </w:p>
    <w:p>
      <w:pPr>
        <w:pStyle w:val="ListBullet"/>
      </w:pPr>
      <w:r>
        <w:t>OATS v0.1 architecture and threat model.</w:t>
      </w:r>
    </w:p>
    <w:p>
      <w:pPr>
        <w:pStyle w:val="ListBullet"/>
      </w:pPr>
      <w:r>
        <w:t>OATF reference implementation.</w:t>
      </w:r>
    </w:p>
    <w:p>
      <w:pPr>
        <w:pStyle w:val="ListBullet"/>
      </w:pPr>
      <w:r>
        <w:t>OATBench harness, scenarios, datasets and metric definitions.</w:t>
      </w:r>
    </w:p>
    <w:p>
      <w:pPr>
        <w:pStyle w:val="ListBullet"/>
      </w:pPr>
      <w:r>
        <w:t>Conformance test suite.</w:t>
      </w:r>
    </w:p>
    <w:p>
      <w:pPr>
        <w:pStyle w:val="ListBullet"/>
      </w:pPr>
      <w:r>
        <w:t>Example integrations and minimal deployment.</w:t>
      </w:r>
    </w:p>
    <w:p>
      <w:pPr>
        <w:pStyle w:val="ListBullet"/>
      </w:pPr>
      <w:r>
        <w:t>Raw benchmark results and reproducibility scripts.</w:t>
      </w:r>
    </w:p>
    <w:p>
      <w:pPr>
        <w:pStyle w:val="ListBullet"/>
      </w:pPr>
      <w:r>
        <w:t>Paper draft and experiment notebook.</w:t>
      </w:r>
    </w:p>
    <w:p>
      <w:pPr>
        <w:pStyle w:val="ListBullet"/>
      </w:pPr>
      <w:r>
        <w:t>Contribution, security disclosure, governance and RFC documentation.</w:t>
      </w:r>
    </w:p>
    <w:p>
      <w:pPr>
        <w:pStyle w:val="Heading1"/>
      </w:pPr>
      <w:r>
        <w:t>11. Research and Publication Plan</w:t>
      </w:r>
    </w:p>
    <w:p>
      <w:pPr>
        <w:pStyle w:val="Heading2"/>
      </w:pPr>
      <w:r>
        <w:t>11.1 Proposed paper contribution</w:t>
      </w:r>
    </w:p>
    <w:p>
      <w:pPr>
        <w:pStyle w:val="ListBullet"/>
      </w:pPr>
      <w:r>
        <w:t>Define the problem of continuous runtime trust for autonomous actors as distinct from identity, authorization, policy and observability.</w:t>
      </w:r>
    </w:p>
    <w:p>
      <w:pPr>
        <w:pStyle w:val="ListBullet"/>
      </w:pPr>
      <w:r>
        <w:t>Present a vendor-neutral, decentralized observation-exchange architecture.</w:t>
      </w:r>
    </w:p>
    <w:p>
      <w:pPr>
        <w:pStyle w:val="ListBullet"/>
      </w:pPr>
      <w:r>
        <w:t>Define a threat model that includes malicious protocol participants.</w:t>
      </w:r>
    </w:p>
    <w:p>
      <w:pPr>
        <w:pStyle w:val="ListBullet"/>
      </w:pPr>
      <w:r>
        <w:t>Publish an open protocol, reference implementation, conformance tests and benchmark.</w:t>
      </w:r>
    </w:p>
    <w:p>
      <w:pPr>
        <w:pStyle w:val="ListBullet"/>
      </w:pPr>
      <w:r>
        <w:t>Compare distributed trust with no-trust-layer and centralized baselines.</w:t>
      </w:r>
    </w:p>
    <w:p>
      <w:pPr>
        <w:pStyle w:val="ListBullet"/>
      </w:pPr>
      <w:r>
        <w:t>Measure security, utility, reliability, decentralization and cost under controlled attacks and failures.</w:t>
      </w:r>
    </w:p>
    <w:p>
      <w:pPr>
        <w:pStyle w:val="Heading2"/>
      </w:pPr>
      <w:r>
        <w:t>11.2 Candidate research questions</w:t>
      </w:r>
    </w:p>
    <w:p>
      <w:pPr>
        <w:pStyle w:val="ListBullet"/>
      </w:pPr>
      <w:r>
        <w:t>Can distributed runtime trust reduce compromise propagation without unacceptable loss of benign task utility?</w:t>
      </w:r>
    </w:p>
    <w:p>
      <w:pPr>
        <w:pStyle w:val="ListBullet"/>
      </w:pPr>
      <w:r>
        <w:t>How many compromised observers or trust domains can a given local algorithm tolerate?</w:t>
      </w:r>
    </w:p>
    <w:p>
      <w:pPr>
        <w:pStyle w:val="ListBullet"/>
      </w:pPr>
      <w:r>
        <w:t>Which corroboration and recovery strategies minimize false quarantine?</w:t>
      </w:r>
    </w:p>
    <w:p>
      <w:pPr>
        <w:pStyle w:val="ListBullet"/>
      </w:pPr>
      <w:r>
        <w:t>How rapidly do nodes return to compatible local trust states after a partition?</w:t>
      </w:r>
    </w:p>
    <w:p>
      <w:pPr>
        <w:pStyle w:val="ListBullet"/>
      </w:pPr>
      <w:r>
        <w:t>How much protocol overhead is introduced for a given security improvement?</w:t>
      </w:r>
    </w:p>
    <w:p>
      <w:pPr>
        <w:pStyle w:val="ListBullet"/>
      </w:pPr>
      <w:r>
        <w:t>Does local bounded containment outperform centralized enforcement under coordinator failure or poisoning?</w:t>
      </w:r>
    </w:p>
    <w:p>
      <w:pPr>
        <w:pStyle w:val="ListBullet"/>
      </w:pPr>
      <w:r>
        <w:t>Which attack classes are not meaningfully improved by the protocol and still require prevention-first controls?</w:t>
      </w:r>
    </w:p>
    <w:p>
      <w:pPr>
        <w:pStyle w:val="ListBullet"/>
      </w:pPr>
      <w:r>
        <w:t>How sensitive are results to clock skew, observer diversity, evidence availability, and identity compromise?</w:t>
      </w:r>
    </w:p>
    <w:p>
      <w:pPr>
        <w:pStyle w:val="Heading2"/>
      </w:pPr>
      <w:r>
        <w:t>11.3 Claims discipline</w:t>
      </w:r>
    </w:p>
    <w:p>
      <w:r>
        <w:t>The project must not claim that no related work exists until a systematic literature and industry review is completed. The defensible initial claim is narrower: the project seeks to evaluate whether an open, vendor-neutral protocol for exchanging runtime trust observations among autonomous systems fills an interoperability and resilience gap not addressed by identity, policy, guardrails, or telemetry alone.</w:t>
      </w:r>
    </w:p>
    <w:p>
      <w:pPr>
        <w:pStyle w:val="Heading1"/>
      </w:pPr>
      <w:r>
        <w:t>12. Open Questions and Evolution Policy</w:t>
      </w:r>
    </w:p>
    <w:p>
      <w:pPr>
        <w:pStyle w:val="ListBullet"/>
      </w:pPr>
      <w:r>
        <w:t>What constitutes a sufficiently direct observation versus an assertion?</w:t>
      </w:r>
    </w:p>
    <w:p>
      <w:pPr>
        <w:pStyle w:val="ListBullet"/>
      </w:pPr>
      <w:r>
        <w:t>Which fields are mandatory in the core protocol and which belong in profiles?</w:t>
      </w:r>
    </w:p>
    <w:p>
      <w:pPr>
        <w:pStyle w:val="ListBullet"/>
      </w:pPr>
      <w:r>
        <w:t>How should trust-domain independence be represented without introducing a central authority?</w:t>
      </w:r>
    </w:p>
    <w:p>
      <w:pPr>
        <w:pStyle w:val="ListBullet"/>
      </w:pPr>
      <w:r>
        <w:t>How should observer reputation be exchanged, if at all, without turning it into replicated trust state?</w:t>
      </w:r>
    </w:p>
    <w:p>
      <w:pPr>
        <w:pStyle w:val="ListBullet"/>
      </w:pPr>
      <w:r>
        <w:t>What privacy-preserving evidence mechanisms are practical for cross-organization exchange?</w:t>
      </w:r>
    </w:p>
    <w:p>
      <w:pPr>
        <w:pStyle w:val="ListBullet"/>
      </w:pPr>
      <w:r>
        <w:t>What TTL defaults are appropriate for different observation classes?</w:t>
      </w:r>
    </w:p>
    <w:p>
      <w:pPr>
        <w:pStyle w:val="ListBullet"/>
      </w:pPr>
      <w:r>
        <w:t>How should clock-skew disagreements be resolved or surfaced?</w:t>
      </w:r>
    </w:p>
    <w:p>
      <w:pPr>
        <w:pStyle w:val="ListBullet"/>
      </w:pPr>
      <w:r>
        <w:t>When may an assertion propagate, and what derivation graph is required?</w:t>
      </w:r>
    </w:p>
    <w:p>
      <w:pPr>
        <w:pStyle w:val="ListBullet"/>
      </w:pPr>
      <w:r>
        <w:t>How should global emergencies be coordinated without violating local-decision principles?</w:t>
      </w:r>
    </w:p>
    <w:p>
      <w:pPr>
        <w:pStyle w:val="ListBullet"/>
      </w:pPr>
      <w:r>
        <w:t>Which benchmark workloads best represent real autonomy rather than scripted tool use?</w:t>
      </w:r>
    </w:p>
    <w:p>
      <w:pPr>
        <w:pStyle w:val="ListBullet"/>
      </w:pPr>
      <w:r>
        <w:t>What licensing and governance structure best protects vendor neutrality while encouraging commercial implementations?</w:t>
      </w:r>
    </w:p>
    <w:p>
      <w:r>
        <w:t>All answers are provisional in v0.1. Testing, conformance failures, security analysis, and independent implementations are expected to change the specification. Changes must be made through OAT-RFCs and accompanied by updated tests and benchmark analysis where applicable.</w:t>
      </w:r>
    </w:p>
    <w:p>
      <w:pPr>
        <w:pStyle w:val="Heading1"/>
      </w:pPr>
      <w:r>
        <w:t>Appendix A. Initial Schemas</w:t>
      </w:r>
    </w:p>
    <w:p>
      <w:pPr>
        <w:pStyle w:val="Heading2"/>
      </w:pPr>
      <w:r>
        <w:t>A.1 Observation type naming</w:t>
      </w:r>
    </w:p>
    <w:p>
      <w:pPr>
        <w:pStyle w:val="ListBullet"/>
      </w:pPr>
      <w:r>
        <w:t>Use lowercase dotted names such as tool.invocation, memory.write, identity.credential_use, runtime.lifecycle, network.peer_message, policy.decision, attestation.result and recovery.checkpoint.</w:t>
      </w:r>
    </w:p>
    <w:p>
      <w:pPr>
        <w:pStyle w:val="ListBullet"/>
      </w:pPr>
      <w:r>
        <w:t>Profiles own domain-specific fields; the core envelope owns identity, scope, time, sequence, evidence and signature semantics.</w:t>
      </w:r>
    </w:p>
    <w:p>
      <w:pPr>
        <w:pStyle w:val="ListBullet"/>
      </w:pPr>
      <w:r>
        <w:t>Observation names describe events or state, not moral or global verdicts.</w:t>
      </w:r>
    </w:p>
    <w:p>
      <w:pPr>
        <w:pStyle w:val="Heading2"/>
      </w:pPr>
      <w:r>
        <w:t>A.2 Initial protocol error codes</w:t>
      </w:r>
    </w:p>
    <w:tbl>
      <w:tblPr>
        <w:tblStyle w:val="TableGrid"/>
        <w:tblW w:type="auto" w:w="0"/>
        <w:jc w:val="center"/>
        <w:tblLook w:firstColumn="1" w:firstRow="1" w:lastColumn="0" w:lastRow="0" w:noHBand="0" w:noVBand="1" w:val="04A0"/>
      </w:tblPr>
      <w:tblGrid>
        <w:gridCol w:w="4968"/>
        <w:gridCol w:w="4968"/>
      </w:tblGrid>
      <w:tr>
        <w:tc>
          <w:tcPr>
            <w:tcW w:type="dxa" w:w="2592"/>
            <w:shd w:fill="183B56"/>
            <w:vAlign w:val="center"/>
            <w:tcMar>
              <w:top w:w="100" w:type="dxa"/>
              <w:start w:w="120" w:type="dxa"/>
              <w:bottom w:w="100" w:type="dxa"/>
              <w:end w:w="120" w:type="dxa"/>
            </w:tcMar>
          </w:tcPr>
          <w:p>
            <w:pPr>
              <w:jc w:val="center"/>
            </w:pPr>
            <w:r>
              <w:rPr>
                <w:b/>
                <w:color w:val="FFFFFF"/>
                <w:sz w:val="18"/>
              </w:rPr>
              <w:t>Code</w:t>
            </w:r>
          </w:p>
        </w:tc>
        <w:tc>
          <w:tcPr>
            <w:tcW w:type="dxa" w:w="7344"/>
            <w:shd w:fill="183B56"/>
            <w:vAlign w:val="center"/>
            <w:tcMar>
              <w:top w:w="100" w:type="dxa"/>
              <w:start w:w="120" w:type="dxa"/>
              <w:bottom w:w="100" w:type="dxa"/>
              <w:end w:w="120" w:type="dxa"/>
            </w:tcMar>
          </w:tcPr>
          <w:p>
            <w:pPr>
              <w:jc w:val="center"/>
            </w:pPr>
            <w:r>
              <w:rPr>
                <w:b/>
                <w:color w:val="FFFFFF"/>
                <w:sz w:val="18"/>
              </w:rPr>
              <w:t>Meaning</w:t>
            </w:r>
          </w:p>
        </w:tc>
      </w:tr>
      <w:tr>
        <w:tc>
          <w:tcPr>
            <w:tcW w:type="dxa" w:w="2592"/>
            <w:vAlign w:val="center"/>
            <w:tcMar>
              <w:top w:w="100" w:type="dxa"/>
              <w:start w:w="120" w:type="dxa"/>
              <w:bottom w:w="100" w:type="dxa"/>
              <w:end w:w="120" w:type="dxa"/>
            </w:tcMar>
          </w:tcPr>
          <w:p>
            <w:r>
              <w:rPr>
                <w:sz w:val="18"/>
              </w:rPr>
              <w:t>unsupported_version</w:t>
            </w:r>
          </w:p>
        </w:tc>
        <w:tc>
          <w:tcPr>
            <w:tcW w:type="dxa" w:w="7344"/>
            <w:vAlign w:val="center"/>
            <w:tcMar>
              <w:top w:w="100" w:type="dxa"/>
              <w:start w:w="120" w:type="dxa"/>
              <w:bottom w:w="100" w:type="dxa"/>
              <w:end w:w="120" w:type="dxa"/>
            </w:tcMar>
          </w:tcPr>
          <w:p>
            <w:r>
              <w:rPr>
                <w:sz w:val="18"/>
              </w:rPr>
              <w:t>No compatible protocol version.</w:t>
            </w:r>
          </w:p>
        </w:tc>
      </w:tr>
      <w:tr>
        <w:tc>
          <w:tcPr>
            <w:tcW w:type="dxa" w:w="2592"/>
            <w:vAlign w:val="center"/>
            <w:tcMar>
              <w:top w:w="100" w:type="dxa"/>
              <w:start w:w="120" w:type="dxa"/>
              <w:bottom w:w="100" w:type="dxa"/>
              <w:end w:w="120" w:type="dxa"/>
            </w:tcMar>
            <w:shd w:fill="F1F5F8"/>
          </w:tcPr>
          <w:p>
            <w:r>
              <w:rPr>
                <w:sz w:val="18"/>
              </w:rPr>
              <w:t>schema_invalid</w:t>
            </w:r>
          </w:p>
        </w:tc>
        <w:tc>
          <w:tcPr>
            <w:tcW w:type="dxa" w:w="7344"/>
            <w:vAlign w:val="center"/>
            <w:tcMar>
              <w:top w:w="100" w:type="dxa"/>
              <w:start w:w="120" w:type="dxa"/>
              <w:bottom w:w="100" w:type="dxa"/>
              <w:end w:w="120" w:type="dxa"/>
            </w:tcMar>
            <w:shd w:fill="F1F5F8"/>
          </w:tcPr>
          <w:p>
            <w:r>
              <w:rPr>
                <w:sz w:val="18"/>
              </w:rPr>
              <w:t>Mandatory field or type validation failed.</w:t>
            </w:r>
          </w:p>
        </w:tc>
      </w:tr>
      <w:tr>
        <w:tc>
          <w:tcPr>
            <w:tcW w:type="dxa" w:w="2592"/>
            <w:vAlign w:val="center"/>
            <w:tcMar>
              <w:top w:w="100" w:type="dxa"/>
              <w:start w:w="120" w:type="dxa"/>
              <w:bottom w:w="100" w:type="dxa"/>
              <w:end w:w="120" w:type="dxa"/>
            </w:tcMar>
          </w:tcPr>
          <w:p>
            <w:r>
              <w:rPr>
                <w:sz w:val="18"/>
              </w:rPr>
              <w:t>signature_invalid</w:t>
            </w:r>
          </w:p>
        </w:tc>
        <w:tc>
          <w:tcPr>
            <w:tcW w:type="dxa" w:w="7344"/>
            <w:vAlign w:val="center"/>
            <w:tcMar>
              <w:top w:w="100" w:type="dxa"/>
              <w:start w:w="120" w:type="dxa"/>
              <w:bottom w:w="100" w:type="dxa"/>
              <w:end w:w="120" w:type="dxa"/>
            </w:tcMar>
          </w:tcPr>
          <w:p>
            <w:r>
              <w:rPr>
                <w:sz w:val="18"/>
              </w:rPr>
              <w:t>Message signature failed verification.</w:t>
            </w:r>
          </w:p>
        </w:tc>
      </w:tr>
      <w:tr>
        <w:tc>
          <w:tcPr>
            <w:tcW w:type="dxa" w:w="2592"/>
            <w:vAlign w:val="center"/>
            <w:tcMar>
              <w:top w:w="100" w:type="dxa"/>
              <w:start w:w="120" w:type="dxa"/>
              <w:bottom w:w="100" w:type="dxa"/>
              <w:end w:w="120" w:type="dxa"/>
            </w:tcMar>
            <w:shd w:fill="F1F5F8"/>
          </w:tcPr>
          <w:p>
            <w:r>
              <w:rPr>
                <w:sz w:val="18"/>
              </w:rPr>
              <w:t>identity_unknown</w:t>
            </w:r>
          </w:p>
        </w:tc>
        <w:tc>
          <w:tcPr>
            <w:tcW w:type="dxa" w:w="7344"/>
            <w:vAlign w:val="center"/>
            <w:tcMar>
              <w:top w:w="100" w:type="dxa"/>
              <w:start w:w="120" w:type="dxa"/>
              <w:bottom w:w="100" w:type="dxa"/>
              <w:end w:w="120" w:type="dxa"/>
            </w:tcMar>
            <w:shd w:fill="F1F5F8"/>
          </w:tcPr>
          <w:p>
            <w:r>
              <w:rPr>
                <w:sz w:val="18"/>
              </w:rPr>
              <w:t>Observer identity could not be resolved.</w:t>
            </w:r>
          </w:p>
        </w:tc>
      </w:tr>
      <w:tr>
        <w:tc>
          <w:tcPr>
            <w:tcW w:type="dxa" w:w="2592"/>
            <w:vAlign w:val="center"/>
            <w:tcMar>
              <w:top w:w="100" w:type="dxa"/>
              <w:start w:w="120" w:type="dxa"/>
              <w:bottom w:w="100" w:type="dxa"/>
              <w:end w:w="120" w:type="dxa"/>
            </w:tcMar>
          </w:tcPr>
          <w:p>
            <w:r>
              <w:rPr>
                <w:sz w:val="18"/>
              </w:rPr>
              <w:t>scope_violation</w:t>
            </w:r>
          </w:p>
        </w:tc>
        <w:tc>
          <w:tcPr>
            <w:tcW w:type="dxa" w:w="7344"/>
            <w:vAlign w:val="center"/>
            <w:tcMar>
              <w:top w:w="100" w:type="dxa"/>
              <w:start w:w="120" w:type="dxa"/>
              <w:bottom w:w="100" w:type="dxa"/>
              <w:end w:w="120" w:type="dxa"/>
            </w:tcMar>
          </w:tcPr>
          <w:p>
            <w:r>
              <w:rPr>
                <w:sz w:val="18"/>
              </w:rPr>
              <w:t>Observer is not authorized for the observation scope/type.</w:t>
            </w:r>
          </w:p>
        </w:tc>
      </w:tr>
      <w:tr>
        <w:tc>
          <w:tcPr>
            <w:tcW w:type="dxa" w:w="2592"/>
            <w:vAlign w:val="center"/>
            <w:tcMar>
              <w:top w:w="100" w:type="dxa"/>
              <w:start w:w="120" w:type="dxa"/>
              <w:bottom w:w="100" w:type="dxa"/>
              <w:end w:w="120" w:type="dxa"/>
            </w:tcMar>
            <w:shd w:fill="F1F5F8"/>
          </w:tcPr>
          <w:p>
            <w:r>
              <w:rPr>
                <w:sz w:val="18"/>
              </w:rPr>
              <w:t>expired</w:t>
            </w:r>
          </w:p>
        </w:tc>
        <w:tc>
          <w:tcPr>
            <w:tcW w:type="dxa" w:w="7344"/>
            <w:vAlign w:val="center"/>
            <w:tcMar>
              <w:top w:w="100" w:type="dxa"/>
              <w:start w:w="120" w:type="dxa"/>
              <w:bottom w:w="100" w:type="dxa"/>
              <w:end w:w="120" w:type="dxa"/>
            </w:tcMar>
            <w:shd w:fill="F1F5F8"/>
          </w:tcPr>
          <w:p>
            <w:r>
              <w:rPr>
                <w:sz w:val="18"/>
              </w:rPr>
              <w:t>Observation validity interval has ended.</w:t>
            </w:r>
          </w:p>
        </w:tc>
      </w:tr>
      <w:tr>
        <w:tc>
          <w:tcPr>
            <w:tcW w:type="dxa" w:w="2592"/>
            <w:vAlign w:val="center"/>
            <w:tcMar>
              <w:top w:w="100" w:type="dxa"/>
              <w:start w:w="120" w:type="dxa"/>
              <w:bottom w:w="100" w:type="dxa"/>
              <w:end w:w="120" w:type="dxa"/>
            </w:tcMar>
          </w:tcPr>
          <w:p>
            <w:r>
              <w:rPr>
                <w:sz w:val="18"/>
              </w:rPr>
              <w:t>future_timestamp</w:t>
            </w:r>
          </w:p>
        </w:tc>
        <w:tc>
          <w:tcPr>
            <w:tcW w:type="dxa" w:w="7344"/>
            <w:vAlign w:val="center"/>
            <w:tcMar>
              <w:top w:w="100" w:type="dxa"/>
              <w:start w:w="120" w:type="dxa"/>
              <w:bottom w:w="100" w:type="dxa"/>
              <w:end w:w="120" w:type="dxa"/>
            </w:tcMar>
          </w:tcPr>
          <w:p>
            <w:r>
              <w:rPr>
                <w:sz w:val="18"/>
              </w:rPr>
              <w:t>Timestamp exceeds configured skew allowance.</w:t>
            </w:r>
          </w:p>
        </w:tc>
      </w:tr>
      <w:tr>
        <w:tc>
          <w:tcPr>
            <w:tcW w:type="dxa" w:w="2592"/>
            <w:vAlign w:val="center"/>
            <w:tcMar>
              <w:top w:w="100" w:type="dxa"/>
              <w:start w:w="120" w:type="dxa"/>
              <w:bottom w:w="100" w:type="dxa"/>
              <w:end w:w="120" w:type="dxa"/>
            </w:tcMar>
            <w:shd w:fill="F1F5F8"/>
          </w:tcPr>
          <w:p>
            <w:r>
              <w:rPr>
                <w:sz w:val="18"/>
              </w:rPr>
              <w:t>replay_detected</w:t>
            </w:r>
          </w:p>
        </w:tc>
        <w:tc>
          <w:tcPr>
            <w:tcW w:type="dxa" w:w="7344"/>
            <w:vAlign w:val="center"/>
            <w:tcMar>
              <w:top w:w="100" w:type="dxa"/>
              <w:start w:w="120" w:type="dxa"/>
              <w:bottom w:w="100" w:type="dxa"/>
              <w:end w:w="120" w:type="dxa"/>
            </w:tcMar>
            <w:shd w:fill="F1F5F8"/>
          </w:tcPr>
          <w:p>
            <w:r>
              <w:rPr>
                <w:sz w:val="18"/>
              </w:rPr>
              <w:t>Duplicate or stale sequence/nonce detected.</w:t>
            </w:r>
          </w:p>
        </w:tc>
      </w:tr>
      <w:tr>
        <w:tc>
          <w:tcPr>
            <w:tcW w:type="dxa" w:w="2592"/>
            <w:vAlign w:val="center"/>
            <w:tcMar>
              <w:top w:w="100" w:type="dxa"/>
              <w:start w:w="120" w:type="dxa"/>
              <w:bottom w:w="100" w:type="dxa"/>
              <w:end w:w="120" w:type="dxa"/>
            </w:tcMar>
          </w:tcPr>
          <w:p>
            <w:r>
              <w:rPr>
                <w:sz w:val="18"/>
              </w:rPr>
              <w:t>tenant_violation</w:t>
            </w:r>
          </w:p>
        </w:tc>
        <w:tc>
          <w:tcPr>
            <w:tcW w:type="dxa" w:w="7344"/>
            <w:vAlign w:val="center"/>
            <w:tcMar>
              <w:top w:w="100" w:type="dxa"/>
              <w:start w:w="120" w:type="dxa"/>
              <w:bottom w:w="100" w:type="dxa"/>
              <w:end w:w="120" w:type="dxa"/>
            </w:tcMar>
          </w:tcPr>
          <w:p>
            <w:r>
              <w:rPr>
                <w:sz w:val="18"/>
              </w:rPr>
              <w:t>Message crosses an unauthorized boundary.</w:t>
            </w:r>
          </w:p>
        </w:tc>
      </w:tr>
      <w:tr>
        <w:tc>
          <w:tcPr>
            <w:tcW w:type="dxa" w:w="2592"/>
            <w:vAlign w:val="center"/>
            <w:tcMar>
              <w:top w:w="100" w:type="dxa"/>
              <w:start w:w="120" w:type="dxa"/>
              <w:bottom w:w="100" w:type="dxa"/>
              <w:end w:w="120" w:type="dxa"/>
            </w:tcMar>
            <w:shd w:fill="F1F5F8"/>
          </w:tcPr>
          <w:p>
            <w:r>
              <w:rPr>
                <w:sz w:val="18"/>
              </w:rPr>
              <w:t>evidence_unavailable</w:t>
            </w:r>
          </w:p>
        </w:tc>
        <w:tc>
          <w:tcPr>
            <w:tcW w:type="dxa" w:w="7344"/>
            <w:vAlign w:val="center"/>
            <w:tcMar>
              <w:top w:w="100" w:type="dxa"/>
              <w:start w:w="120" w:type="dxa"/>
              <w:bottom w:w="100" w:type="dxa"/>
              <w:end w:w="120" w:type="dxa"/>
            </w:tcMar>
            <w:shd w:fill="F1F5F8"/>
          </w:tcPr>
          <w:p>
            <w:r>
              <w:rPr>
                <w:sz w:val="18"/>
              </w:rPr>
              <w:t>Required evidence cannot be accessed or validated.</w:t>
            </w:r>
          </w:p>
        </w:tc>
      </w:tr>
      <w:tr>
        <w:tc>
          <w:tcPr>
            <w:tcW w:type="dxa" w:w="2592"/>
            <w:vAlign w:val="center"/>
            <w:tcMar>
              <w:top w:w="100" w:type="dxa"/>
              <w:start w:w="120" w:type="dxa"/>
              <w:bottom w:w="100" w:type="dxa"/>
              <w:end w:w="120" w:type="dxa"/>
            </w:tcMar>
          </w:tcPr>
          <w:p>
            <w:r>
              <w:rPr>
                <w:sz w:val="18"/>
              </w:rPr>
              <w:t>rate_limited</w:t>
            </w:r>
          </w:p>
        </w:tc>
        <w:tc>
          <w:tcPr>
            <w:tcW w:type="dxa" w:w="7344"/>
            <w:vAlign w:val="center"/>
            <w:tcMar>
              <w:top w:w="100" w:type="dxa"/>
              <w:start w:w="120" w:type="dxa"/>
              <w:bottom w:w="100" w:type="dxa"/>
              <w:end w:w="120" w:type="dxa"/>
            </w:tcMar>
          </w:tcPr>
          <w:p>
            <w:r>
              <w:rPr>
                <w:sz w:val="18"/>
              </w:rPr>
              <w:t>Sender or observation class exceeded local limits.</w:t>
            </w:r>
          </w:p>
        </w:tc>
      </w:tr>
      <w:tr>
        <w:tc>
          <w:tcPr>
            <w:tcW w:type="dxa" w:w="2592"/>
            <w:vAlign w:val="center"/>
            <w:tcMar>
              <w:top w:w="100" w:type="dxa"/>
              <w:start w:w="120" w:type="dxa"/>
              <w:bottom w:w="100" w:type="dxa"/>
              <w:end w:w="120" w:type="dxa"/>
            </w:tcMar>
            <w:shd w:fill="F1F5F8"/>
          </w:tcPr>
          <w:p>
            <w:r>
              <w:rPr>
                <w:sz w:val="18"/>
              </w:rPr>
              <w:t>mandatory_extension_unknown</w:t>
            </w:r>
          </w:p>
        </w:tc>
        <w:tc>
          <w:tcPr>
            <w:tcW w:type="dxa" w:w="7344"/>
            <w:vAlign w:val="center"/>
            <w:tcMar>
              <w:top w:w="100" w:type="dxa"/>
              <w:start w:w="120" w:type="dxa"/>
              <w:bottom w:w="100" w:type="dxa"/>
              <w:end w:w="120" w:type="dxa"/>
            </w:tcMar>
            <w:shd w:fill="F1F5F8"/>
          </w:tcPr>
          <w:p>
            <w:r>
              <w:rPr>
                <w:sz w:val="18"/>
              </w:rPr>
              <w:t>Receiver cannot safely interpret a required extension.</w:t>
            </w:r>
          </w:p>
        </w:tc>
      </w:tr>
    </w:tbl>
    <w:p/>
    <w:p>
      <w:pPr>
        <w:pStyle w:val="Heading1"/>
      </w:pPr>
      <w:r>
        <w:t>Appendix B. Initial Conformance Tests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Test</w:t>
            </w:r>
          </w:p>
        </w:tc>
      </w:tr>
      <w:tr>
        <w:tc>
          <w:tcPr>
            <w:tcW w:type="dxa" w:w="1152"/>
            <w:vAlign w:val="center"/>
            <w:tcMar>
              <w:top w:w="100" w:type="dxa"/>
              <w:start w:w="120" w:type="dxa"/>
              <w:bottom w:w="100" w:type="dxa"/>
              <w:end w:w="120" w:type="dxa"/>
            </w:tcMar>
          </w:tcPr>
          <w:p>
            <w:r>
              <w:rPr>
                <w:sz w:val="18"/>
              </w:rPr>
              <w:t>CT-001</w:t>
            </w:r>
          </w:p>
        </w:tc>
        <w:tc>
          <w:tcPr>
            <w:tcW w:type="dxa" w:w="8784"/>
            <w:vAlign w:val="center"/>
            <w:tcMar>
              <w:top w:w="100" w:type="dxa"/>
              <w:start w:w="120" w:type="dxa"/>
              <w:bottom w:w="100" w:type="dxa"/>
              <w:end w:w="120" w:type="dxa"/>
            </w:tcMar>
          </w:tcPr>
          <w:p>
            <w:r>
              <w:rPr>
                <w:sz w:val="18"/>
              </w:rPr>
              <w:t>Valid signed observation is accepted and stored immutably.</w:t>
            </w:r>
          </w:p>
        </w:tc>
      </w:tr>
      <w:tr>
        <w:tc>
          <w:tcPr>
            <w:tcW w:type="dxa" w:w="1152"/>
            <w:vAlign w:val="center"/>
            <w:tcMar>
              <w:top w:w="100" w:type="dxa"/>
              <w:start w:w="120" w:type="dxa"/>
              <w:bottom w:w="100" w:type="dxa"/>
              <w:end w:w="120" w:type="dxa"/>
            </w:tcMar>
            <w:shd w:fill="F1F5F8"/>
          </w:tcPr>
          <w:p>
            <w:r>
              <w:rPr>
                <w:sz w:val="18"/>
              </w:rPr>
              <w:t>CT-002</w:t>
            </w:r>
          </w:p>
        </w:tc>
        <w:tc>
          <w:tcPr>
            <w:tcW w:type="dxa" w:w="8784"/>
            <w:vAlign w:val="center"/>
            <w:tcMar>
              <w:top w:w="100" w:type="dxa"/>
              <w:start w:w="120" w:type="dxa"/>
              <w:bottom w:w="100" w:type="dxa"/>
              <w:end w:w="120" w:type="dxa"/>
            </w:tcMar>
            <w:shd w:fill="F1F5F8"/>
          </w:tcPr>
          <w:p>
            <w:r>
              <w:rPr>
                <w:sz w:val="18"/>
              </w:rPr>
              <w:t>Invalid signature is rejected.</w:t>
            </w:r>
          </w:p>
        </w:tc>
      </w:tr>
      <w:tr>
        <w:tc>
          <w:tcPr>
            <w:tcW w:type="dxa" w:w="1152"/>
            <w:vAlign w:val="center"/>
            <w:tcMar>
              <w:top w:w="100" w:type="dxa"/>
              <w:start w:w="120" w:type="dxa"/>
              <w:bottom w:w="100" w:type="dxa"/>
              <w:end w:w="120" w:type="dxa"/>
            </w:tcMar>
          </w:tcPr>
          <w:p>
            <w:r>
              <w:rPr>
                <w:sz w:val="18"/>
              </w:rPr>
              <w:t>CT-003</w:t>
            </w:r>
          </w:p>
        </w:tc>
        <w:tc>
          <w:tcPr>
            <w:tcW w:type="dxa" w:w="8784"/>
            <w:vAlign w:val="center"/>
            <w:tcMar>
              <w:top w:w="100" w:type="dxa"/>
              <w:start w:w="120" w:type="dxa"/>
              <w:bottom w:w="100" w:type="dxa"/>
              <w:end w:w="120" w:type="dxa"/>
            </w:tcMar>
          </w:tcPr>
          <w:p>
            <w:r>
              <w:rPr>
                <w:sz w:val="18"/>
              </w:rPr>
              <w:t>Observer outside declared scope is rejected.</w:t>
            </w:r>
          </w:p>
        </w:tc>
      </w:tr>
      <w:tr>
        <w:tc>
          <w:tcPr>
            <w:tcW w:type="dxa" w:w="1152"/>
            <w:vAlign w:val="center"/>
            <w:tcMar>
              <w:top w:w="100" w:type="dxa"/>
              <w:start w:w="120" w:type="dxa"/>
              <w:bottom w:w="100" w:type="dxa"/>
              <w:end w:w="120" w:type="dxa"/>
            </w:tcMar>
            <w:shd w:fill="F1F5F8"/>
          </w:tcPr>
          <w:p>
            <w:r>
              <w:rPr>
                <w:sz w:val="18"/>
              </w:rPr>
              <w:t>CT-004</w:t>
            </w:r>
          </w:p>
        </w:tc>
        <w:tc>
          <w:tcPr>
            <w:tcW w:type="dxa" w:w="8784"/>
            <w:vAlign w:val="center"/>
            <w:tcMar>
              <w:top w:w="100" w:type="dxa"/>
              <w:start w:w="120" w:type="dxa"/>
              <w:bottom w:w="100" w:type="dxa"/>
              <w:end w:w="120" w:type="dxa"/>
            </w:tcMar>
            <w:shd w:fill="F1F5F8"/>
          </w:tcPr>
          <w:p>
            <w:r>
              <w:rPr>
                <w:sz w:val="18"/>
              </w:rPr>
              <w:t>Expired observation is rejected or excluded from current computation.</w:t>
            </w:r>
          </w:p>
        </w:tc>
      </w:tr>
      <w:tr>
        <w:tc>
          <w:tcPr>
            <w:tcW w:type="dxa" w:w="1152"/>
            <w:vAlign w:val="center"/>
            <w:tcMar>
              <w:top w:w="100" w:type="dxa"/>
              <w:start w:w="120" w:type="dxa"/>
              <w:bottom w:w="100" w:type="dxa"/>
              <w:end w:w="120" w:type="dxa"/>
            </w:tcMar>
          </w:tcPr>
          <w:p>
            <w:r>
              <w:rPr>
                <w:sz w:val="18"/>
              </w:rPr>
              <w:t>CT-005</w:t>
            </w:r>
          </w:p>
        </w:tc>
        <w:tc>
          <w:tcPr>
            <w:tcW w:type="dxa" w:w="8784"/>
            <w:vAlign w:val="center"/>
            <w:tcMar>
              <w:top w:w="100" w:type="dxa"/>
              <w:start w:w="120" w:type="dxa"/>
              <w:bottom w:w="100" w:type="dxa"/>
              <w:end w:w="120" w:type="dxa"/>
            </w:tcMar>
          </w:tcPr>
          <w:p>
            <w:r>
              <w:rPr>
                <w:sz w:val="18"/>
              </w:rPr>
              <w:t>Duplicate observation does not produce duplicate state transition.</w:t>
            </w:r>
          </w:p>
        </w:tc>
      </w:tr>
      <w:tr>
        <w:tc>
          <w:tcPr>
            <w:tcW w:type="dxa" w:w="1152"/>
            <w:vAlign w:val="center"/>
            <w:tcMar>
              <w:top w:w="100" w:type="dxa"/>
              <w:start w:w="120" w:type="dxa"/>
              <w:bottom w:w="100" w:type="dxa"/>
              <w:end w:w="120" w:type="dxa"/>
            </w:tcMar>
            <w:shd w:fill="F1F5F8"/>
          </w:tcPr>
          <w:p>
            <w:r>
              <w:rPr>
                <w:sz w:val="18"/>
              </w:rPr>
              <w:t>CT-006</w:t>
            </w:r>
          </w:p>
        </w:tc>
        <w:tc>
          <w:tcPr>
            <w:tcW w:type="dxa" w:w="8784"/>
            <w:vAlign w:val="center"/>
            <w:tcMar>
              <w:top w:w="100" w:type="dxa"/>
              <w:start w:w="120" w:type="dxa"/>
              <w:bottom w:w="100" w:type="dxa"/>
              <w:end w:w="120" w:type="dxa"/>
            </w:tcMar>
            <w:shd w:fill="F1F5F8"/>
          </w:tcPr>
          <w:p>
            <w:r>
              <w:rPr>
                <w:sz w:val="18"/>
              </w:rPr>
              <w:t>Older sequence cannot overwrite newer accepted sequence.</w:t>
            </w:r>
          </w:p>
        </w:tc>
      </w:tr>
      <w:tr>
        <w:tc>
          <w:tcPr>
            <w:tcW w:type="dxa" w:w="1152"/>
            <w:vAlign w:val="center"/>
            <w:tcMar>
              <w:top w:w="100" w:type="dxa"/>
              <w:start w:w="120" w:type="dxa"/>
              <w:bottom w:w="100" w:type="dxa"/>
              <w:end w:w="120" w:type="dxa"/>
            </w:tcMar>
          </w:tcPr>
          <w:p>
            <w:r>
              <w:rPr>
                <w:sz w:val="18"/>
              </w:rPr>
              <w:t>CT-007</w:t>
            </w:r>
          </w:p>
        </w:tc>
        <w:tc>
          <w:tcPr>
            <w:tcW w:type="dxa" w:w="8784"/>
            <w:vAlign w:val="center"/>
            <w:tcMar>
              <w:top w:w="100" w:type="dxa"/>
              <w:start w:w="120" w:type="dxa"/>
              <w:bottom w:w="100" w:type="dxa"/>
              <w:end w:w="120" w:type="dxa"/>
            </w:tcMar>
          </w:tcPr>
          <w:p>
            <w:r>
              <w:rPr>
                <w:sz w:val="18"/>
              </w:rPr>
              <w:t>Replayed signed observation is detected.</w:t>
            </w:r>
          </w:p>
        </w:tc>
      </w:tr>
      <w:tr>
        <w:tc>
          <w:tcPr>
            <w:tcW w:type="dxa" w:w="1152"/>
            <w:vAlign w:val="center"/>
            <w:tcMar>
              <w:top w:w="100" w:type="dxa"/>
              <w:start w:w="120" w:type="dxa"/>
              <w:bottom w:w="100" w:type="dxa"/>
              <w:end w:w="120" w:type="dxa"/>
            </w:tcMar>
            <w:shd w:fill="F1F5F8"/>
          </w:tcPr>
          <w:p>
            <w:r>
              <w:rPr>
                <w:sz w:val="18"/>
              </w:rPr>
              <w:t>CT-008</w:t>
            </w:r>
          </w:p>
        </w:tc>
        <w:tc>
          <w:tcPr>
            <w:tcW w:type="dxa" w:w="8784"/>
            <w:vAlign w:val="center"/>
            <w:tcMar>
              <w:top w:w="100" w:type="dxa"/>
              <w:start w:w="120" w:type="dxa"/>
              <w:bottom w:w="100" w:type="dxa"/>
              <w:end w:w="120" w:type="dxa"/>
            </w:tcMar>
            <w:shd w:fill="F1F5F8"/>
          </w:tcPr>
          <w:p>
            <w:r>
              <w:rPr>
                <w:sz w:val="18"/>
              </w:rPr>
              <w:t>Unknown optional field is preserved or ignored safely.</w:t>
            </w:r>
          </w:p>
        </w:tc>
      </w:tr>
      <w:tr>
        <w:tc>
          <w:tcPr>
            <w:tcW w:type="dxa" w:w="1152"/>
            <w:vAlign w:val="center"/>
            <w:tcMar>
              <w:top w:w="100" w:type="dxa"/>
              <w:start w:w="120" w:type="dxa"/>
              <w:bottom w:w="100" w:type="dxa"/>
              <w:end w:w="120" w:type="dxa"/>
            </w:tcMar>
          </w:tcPr>
          <w:p>
            <w:r>
              <w:rPr>
                <w:sz w:val="18"/>
              </w:rPr>
              <w:t>CT-009</w:t>
            </w:r>
          </w:p>
        </w:tc>
        <w:tc>
          <w:tcPr>
            <w:tcW w:type="dxa" w:w="8784"/>
            <w:vAlign w:val="center"/>
            <w:tcMar>
              <w:top w:w="100" w:type="dxa"/>
              <w:start w:w="120" w:type="dxa"/>
              <w:bottom w:w="100" w:type="dxa"/>
              <w:end w:w="120" w:type="dxa"/>
            </w:tcMar>
          </w:tcPr>
          <w:p>
            <w:r>
              <w:rPr>
                <w:sz w:val="18"/>
              </w:rPr>
              <w:t>Unknown mandatory extension fails closed for that message.</w:t>
            </w:r>
          </w:p>
        </w:tc>
      </w:tr>
      <w:tr>
        <w:tc>
          <w:tcPr>
            <w:tcW w:type="dxa" w:w="1152"/>
            <w:vAlign w:val="center"/>
            <w:tcMar>
              <w:top w:w="100" w:type="dxa"/>
              <w:start w:w="120" w:type="dxa"/>
              <w:bottom w:w="100" w:type="dxa"/>
              <w:end w:w="120" w:type="dxa"/>
            </w:tcMar>
            <w:shd w:fill="F1F5F8"/>
          </w:tcPr>
          <w:p>
            <w:r>
              <w:rPr>
                <w:sz w:val="18"/>
              </w:rPr>
              <w:t>CT-010</w:t>
            </w:r>
          </w:p>
        </w:tc>
        <w:tc>
          <w:tcPr>
            <w:tcW w:type="dxa" w:w="8784"/>
            <w:vAlign w:val="center"/>
            <w:tcMar>
              <w:top w:w="100" w:type="dxa"/>
              <w:start w:w="120" w:type="dxa"/>
              <w:bottom w:w="100" w:type="dxa"/>
              <w:end w:w="120" w:type="dxa"/>
            </w:tcMar>
            <w:shd w:fill="F1F5F8"/>
          </w:tcPr>
          <w:p>
            <w:r>
              <w:rPr>
                <w:sz w:val="18"/>
              </w:rPr>
              <w:t>Partitioned node continues bounded local operation.</w:t>
            </w:r>
          </w:p>
        </w:tc>
      </w:tr>
      <w:tr>
        <w:tc>
          <w:tcPr>
            <w:tcW w:type="dxa" w:w="1152"/>
            <w:vAlign w:val="center"/>
            <w:tcMar>
              <w:top w:w="100" w:type="dxa"/>
              <w:start w:w="120" w:type="dxa"/>
              <w:bottom w:w="100" w:type="dxa"/>
              <w:end w:w="120" w:type="dxa"/>
            </w:tcMar>
          </w:tcPr>
          <w:p>
            <w:r>
              <w:rPr>
                <w:sz w:val="18"/>
              </w:rPr>
              <w:t>CT-011</w:t>
            </w:r>
          </w:p>
        </w:tc>
        <w:tc>
          <w:tcPr>
            <w:tcW w:type="dxa" w:w="8784"/>
            <w:vAlign w:val="center"/>
            <w:tcMar>
              <w:top w:w="100" w:type="dxa"/>
              <w:start w:w="120" w:type="dxa"/>
              <w:bottom w:w="100" w:type="dxa"/>
              <w:end w:w="120" w:type="dxa"/>
            </w:tcMar>
          </w:tcPr>
          <w:p>
            <w:r>
              <w:rPr>
                <w:sz w:val="18"/>
              </w:rPr>
              <w:t>Synchronization after partition does not resurrect expired state.</w:t>
            </w:r>
          </w:p>
        </w:tc>
      </w:tr>
      <w:tr>
        <w:tc>
          <w:tcPr>
            <w:tcW w:type="dxa" w:w="1152"/>
            <w:vAlign w:val="center"/>
            <w:tcMar>
              <w:top w:w="100" w:type="dxa"/>
              <w:start w:w="120" w:type="dxa"/>
              <w:bottom w:w="100" w:type="dxa"/>
              <w:end w:w="120" w:type="dxa"/>
            </w:tcMar>
            <w:shd w:fill="F1F5F8"/>
          </w:tcPr>
          <w:p>
            <w:r>
              <w:rPr>
                <w:sz w:val="18"/>
              </w:rPr>
              <w:t>CT-012</w:t>
            </w:r>
          </w:p>
        </w:tc>
        <w:tc>
          <w:tcPr>
            <w:tcW w:type="dxa" w:w="8784"/>
            <w:vAlign w:val="center"/>
            <w:tcMar>
              <w:top w:w="100" w:type="dxa"/>
              <w:start w:w="120" w:type="dxa"/>
              <w:bottom w:w="100" w:type="dxa"/>
              <w:end w:w="120" w:type="dxa"/>
            </w:tcMar>
            <w:shd w:fill="F1F5F8"/>
          </w:tcPr>
          <w:p>
            <w:r>
              <w:rPr>
                <w:sz w:val="18"/>
              </w:rPr>
              <w:t>Missing heartbeat produces unknown/degraded visibility, not healthy state.</w:t>
            </w:r>
          </w:p>
        </w:tc>
      </w:tr>
      <w:tr>
        <w:tc>
          <w:tcPr>
            <w:tcW w:type="dxa" w:w="1152"/>
            <w:vAlign w:val="center"/>
            <w:tcMar>
              <w:top w:w="100" w:type="dxa"/>
              <w:start w:w="120" w:type="dxa"/>
              <w:bottom w:w="100" w:type="dxa"/>
              <w:end w:w="120" w:type="dxa"/>
            </w:tcMar>
          </w:tcPr>
          <w:p>
            <w:r>
              <w:rPr>
                <w:sz w:val="18"/>
              </w:rPr>
              <w:t>CT-013</w:t>
            </w:r>
          </w:p>
        </w:tc>
        <w:tc>
          <w:tcPr>
            <w:tcW w:type="dxa" w:w="8784"/>
            <w:vAlign w:val="center"/>
            <w:tcMar>
              <w:top w:w="100" w:type="dxa"/>
              <w:start w:w="120" w:type="dxa"/>
              <w:bottom w:w="100" w:type="dxa"/>
              <w:end w:w="120" w:type="dxa"/>
            </w:tcMar>
          </w:tcPr>
          <w:p>
            <w:r>
              <w:rPr>
                <w:sz w:val="18"/>
              </w:rPr>
              <w:t>One malicious observer cannot force mandatory global quarantine.</w:t>
            </w:r>
          </w:p>
        </w:tc>
      </w:tr>
      <w:tr>
        <w:tc>
          <w:tcPr>
            <w:tcW w:type="dxa" w:w="1152"/>
            <w:vAlign w:val="center"/>
            <w:tcMar>
              <w:top w:w="100" w:type="dxa"/>
              <w:start w:w="120" w:type="dxa"/>
              <w:bottom w:w="100" w:type="dxa"/>
              <w:end w:w="120" w:type="dxa"/>
            </w:tcMar>
            <w:shd w:fill="F1F5F8"/>
          </w:tcPr>
          <w:p>
            <w:r>
              <w:rPr>
                <w:sz w:val="18"/>
              </w:rPr>
              <w:t>CT-014</w:t>
            </w:r>
          </w:p>
        </w:tc>
        <w:tc>
          <w:tcPr>
            <w:tcW w:type="dxa" w:w="8784"/>
            <w:vAlign w:val="center"/>
            <w:tcMar>
              <w:top w:w="100" w:type="dxa"/>
              <w:start w:w="120" w:type="dxa"/>
              <w:bottom w:w="100" w:type="dxa"/>
              <w:end w:w="120" w:type="dxa"/>
            </w:tcMar>
            <w:shd w:fill="F1F5F8"/>
          </w:tcPr>
          <w:p>
            <w:r>
              <w:rPr>
                <w:sz w:val="18"/>
              </w:rPr>
              <w:t>Multiple identities in one trust domain can be recognized as non-independent.</w:t>
            </w:r>
          </w:p>
        </w:tc>
      </w:tr>
      <w:tr>
        <w:tc>
          <w:tcPr>
            <w:tcW w:type="dxa" w:w="1152"/>
            <w:vAlign w:val="center"/>
            <w:tcMar>
              <w:top w:w="100" w:type="dxa"/>
              <w:start w:w="120" w:type="dxa"/>
              <w:bottom w:w="100" w:type="dxa"/>
              <w:end w:w="120" w:type="dxa"/>
            </w:tcMar>
          </w:tcPr>
          <w:p>
            <w:r>
              <w:rPr>
                <w:sz w:val="18"/>
              </w:rPr>
              <w:t>CT-015</w:t>
            </w:r>
          </w:p>
        </w:tc>
        <w:tc>
          <w:tcPr>
            <w:tcW w:type="dxa" w:w="8784"/>
            <w:vAlign w:val="center"/>
            <w:tcMar>
              <w:top w:w="100" w:type="dxa"/>
              <w:start w:w="120" w:type="dxa"/>
              <w:bottom w:w="100" w:type="dxa"/>
              <w:end w:w="120" w:type="dxa"/>
            </w:tcMar>
          </w:tcPr>
          <w:p>
            <w:r>
              <w:rPr>
                <w:sz w:val="18"/>
              </w:rPr>
              <w:t>Recovery transition requires new evidence.</w:t>
            </w:r>
          </w:p>
        </w:tc>
      </w:tr>
      <w:tr>
        <w:tc>
          <w:tcPr>
            <w:tcW w:type="dxa" w:w="1152"/>
            <w:vAlign w:val="center"/>
            <w:tcMar>
              <w:top w:w="100" w:type="dxa"/>
              <w:start w:w="120" w:type="dxa"/>
              <w:bottom w:w="100" w:type="dxa"/>
              <w:end w:w="120" w:type="dxa"/>
            </w:tcMar>
            <w:shd w:fill="F1F5F8"/>
          </w:tcPr>
          <w:p>
            <w:r>
              <w:rPr>
                <w:sz w:val="18"/>
              </w:rPr>
              <w:t>CT-016</w:t>
            </w:r>
          </w:p>
        </w:tc>
        <w:tc>
          <w:tcPr>
            <w:tcW w:type="dxa" w:w="8784"/>
            <w:vAlign w:val="center"/>
            <w:tcMar>
              <w:top w:w="100" w:type="dxa"/>
              <w:start w:w="120" w:type="dxa"/>
              <w:bottom w:w="100" w:type="dxa"/>
              <w:end w:w="120" w:type="dxa"/>
            </w:tcMar>
            <w:shd w:fill="F1F5F8"/>
          </w:tcPr>
          <w:p>
            <w:r>
              <w:rPr>
                <w:sz w:val="18"/>
              </w:rPr>
              <w:t>Transport profile preserves signed canonical payload.</w:t>
            </w:r>
          </w:p>
        </w:tc>
      </w:tr>
      <w:tr>
        <w:tc>
          <w:tcPr>
            <w:tcW w:type="dxa" w:w="1152"/>
            <w:vAlign w:val="center"/>
            <w:tcMar>
              <w:top w:w="100" w:type="dxa"/>
              <w:start w:w="120" w:type="dxa"/>
              <w:bottom w:w="100" w:type="dxa"/>
              <w:end w:w="120" w:type="dxa"/>
            </w:tcMar>
          </w:tcPr>
          <w:p>
            <w:r>
              <w:rPr>
                <w:sz w:val="18"/>
              </w:rPr>
              <w:t>CT-017</w:t>
            </w:r>
          </w:p>
        </w:tc>
        <w:tc>
          <w:tcPr>
            <w:tcW w:type="dxa" w:w="8784"/>
            <w:vAlign w:val="center"/>
            <w:tcMar>
              <w:top w:w="100" w:type="dxa"/>
              <w:start w:w="120" w:type="dxa"/>
              <w:bottom w:w="100" w:type="dxa"/>
              <w:end w:w="120" w:type="dxa"/>
            </w:tcMar>
          </w:tcPr>
          <w:p>
            <w:r>
              <w:rPr>
                <w:sz w:val="18"/>
              </w:rPr>
              <w:t>Cross-tenant observation is rejected.</w:t>
            </w:r>
          </w:p>
        </w:tc>
      </w:tr>
      <w:tr>
        <w:tc>
          <w:tcPr>
            <w:tcW w:type="dxa" w:w="1152"/>
            <w:vAlign w:val="center"/>
            <w:tcMar>
              <w:top w:w="100" w:type="dxa"/>
              <w:start w:w="120" w:type="dxa"/>
              <w:bottom w:w="100" w:type="dxa"/>
              <w:end w:w="120" w:type="dxa"/>
            </w:tcMar>
            <w:shd w:fill="F1F5F8"/>
          </w:tcPr>
          <w:p>
            <w:r>
              <w:rPr>
                <w:sz w:val="18"/>
              </w:rPr>
              <w:t>CT-018</w:t>
            </w:r>
          </w:p>
        </w:tc>
        <w:tc>
          <w:tcPr>
            <w:tcW w:type="dxa" w:w="8784"/>
            <w:vAlign w:val="center"/>
            <w:tcMar>
              <w:top w:w="100" w:type="dxa"/>
              <w:start w:w="120" w:type="dxa"/>
              <w:bottom w:w="100" w:type="dxa"/>
              <w:end w:w="120" w:type="dxa"/>
            </w:tcMar>
            <w:shd w:fill="F1F5F8"/>
          </w:tcPr>
          <w:p>
            <w:r>
              <w:rPr>
                <w:sz w:val="18"/>
              </w:rPr>
              <w:t>Rate limiting prevents unbounded observation flood.</w:t>
            </w:r>
          </w:p>
        </w:tc>
      </w:tr>
      <w:tr>
        <w:tc>
          <w:tcPr>
            <w:tcW w:type="dxa" w:w="1152"/>
            <w:vAlign w:val="center"/>
            <w:tcMar>
              <w:top w:w="100" w:type="dxa"/>
              <w:start w:w="120" w:type="dxa"/>
              <w:bottom w:w="100" w:type="dxa"/>
              <w:end w:w="120" w:type="dxa"/>
            </w:tcMar>
          </w:tcPr>
          <w:p>
            <w:r>
              <w:rPr>
                <w:sz w:val="18"/>
              </w:rPr>
              <w:t>CT-019</w:t>
            </w:r>
          </w:p>
        </w:tc>
        <w:tc>
          <w:tcPr>
            <w:tcW w:type="dxa" w:w="8784"/>
            <w:vAlign w:val="center"/>
            <w:tcMar>
              <w:top w:w="100" w:type="dxa"/>
              <w:start w:w="120" w:type="dxa"/>
              <w:bottom w:w="100" w:type="dxa"/>
              <w:end w:w="120" w:type="dxa"/>
            </w:tcMar>
          </w:tcPr>
          <w:p>
            <w:r>
              <w:rPr>
                <w:sz w:val="18"/>
              </w:rPr>
              <w:t>Challenge nonce cannot be reused.</w:t>
            </w:r>
          </w:p>
        </w:tc>
      </w:tr>
      <w:tr>
        <w:tc>
          <w:tcPr>
            <w:tcW w:type="dxa" w:w="1152"/>
            <w:vAlign w:val="center"/>
            <w:tcMar>
              <w:top w:w="100" w:type="dxa"/>
              <w:start w:w="120" w:type="dxa"/>
              <w:bottom w:w="100" w:type="dxa"/>
              <w:end w:w="120" w:type="dxa"/>
            </w:tcMar>
            <w:shd w:fill="F1F5F8"/>
          </w:tcPr>
          <w:p>
            <w:r>
              <w:rPr>
                <w:sz w:val="18"/>
              </w:rPr>
              <w:t>CT-020</w:t>
            </w:r>
          </w:p>
        </w:tc>
        <w:tc>
          <w:tcPr>
            <w:tcW w:type="dxa" w:w="8784"/>
            <w:vAlign w:val="center"/>
            <w:tcMar>
              <w:top w:w="100" w:type="dxa"/>
              <w:start w:w="120" w:type="dxa"/>
              <w:bottom w:w="100" w:type="dxa"/>
              <w:end w:w="120" w:type="dxa"/>
            </w:tcMar>
            <w:shd w:fill="F1F5F8"/>
          </w:tcPr>
          <w:p>
            <w:r>
              <w:rPr>
                <w:sz w:val="18"/>
              </w:rPr>
              <w:t>Key rotation accepts new key and rejects revoked key according to policy.</w:t>
            </w:r>
          </w:p>
        </w:tc>
      </w:tr>
    </w:tbl>
    <w:p/>
    <w:p>
      <w:pPr>
        <w:pStyle w:val="Heading1"/>
      </w:pPr>
      <w:r>
        <w:t>Appendix C. Initial Benchmark Scenario Catalog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shd w:fill="183B56"/>
            <w:vAlign w:val="center"/>
            <w:tcMar>
              <w:top w:w="100" w:type="dxa"/>
              <w:start w:w="120" w:type="dxa"/>
              <w:bottom w:w="100" w:type="dxa"/>
              <w:end w:w="120" w:type="dxa"/>
            </w:tcMar>
          </w:tcPr>
          <w:p>
            <w:pPr>
              <w:jc w:val="center"/>
            </w:pPr>
            <w:r>
              <w:rPr>
                <w:b/>
                <w:color w:val="FFFFFF"/>
                <w:sz w:val="18"/>
              </w:rPr>
              <w:t>ID</w:t>
            </w:r>
          </w:p>
        </w:tc>
        <w:tc>
          <w:tcPr>
            <w:tcW w:type="dxa" w:w="2016"/>
            <w:shd w:fill="183B56"/>
            <w:vAlign w:val="center"/>
            <w:tcMar>
              <w:top w:w="100" w:type="dxa"/>
              <w:start w:w="120" w:type="dxa"/>
              <w:bottom w:w="100" w:type="dxa"/>
              <w:end w:w="120" w:type="dxa"/>
            </w:tcMar>
          </w:tcPr>
          <w:p>
            <w:pPr>
              <w:jc w:val="center"/>
            </w:pPr>
            <w:r>
              <w:rPr>
                <w:b/>
                <w:color w:val="FFFFFF"/>
                <w:sz w:val="18"/>
              </w:rPr>
              <w:t>Scenario</w:t>
            </w:r>
          </w:p>
        </w:tc>
        <w:tc>
          <w:tcPr>
            <w:tcW w:type="dxa" w:w="4032"/>
            <w:shd w:fill="183B56"/>
            <w:vAlign w:val="center"/>
            <w:tcMar>
              <w:top w:w="100" w:type="dxa"/>
              <w:start w:w="120" w:type="dxa"/>
              <w:bottom w:w="100" w:type="dxa"/>
              <w:end w:w="120" w:type="dxa"/>
            </w:tcMar>
          </w:tcPr>
          <w:p>
            <w:pPr>
              <w:jc w:val="center"/>
            </w:pPr>
            <w:r>
              <w:rPr>
                <w:b/>
                <w:color w:val="FFFFFF"/>
                <w:sz w:val="18"/>
              </w:rPr>
              <w:t>Injection</w:t>
            </w:r>
          </w:p>
        </w:tc>
        <w:tc>
          <w:tcPr>
            <w:tcW w:type="dxa" w:w="2880"/>
            <w:shd w:fill="183B56"/>
            <w:vAlign w:val="center"/>
            <w:tcMar>
              <w:top w:w="100" w:type="dxa"/>
              <w:start w:w="120" w:type="dxa"/>
              <w:bottom w:w="100" w:type="dxa"/>
              <w:end w:w="120" w:type="dxa"/>
            </w:tcMar>
          </w:tcPr>
          <w:p>
            <w:pPr>
              <w:jc w:val="center"/>
            </w:pPr>
            <w:r>
              <w:rPr>
                <w:b/>
                <w:color w:val="FFFFFF"/>
                <w:sz w:val="18"/>
              </w:rPr>
              <w:t>Primary metrics</w:t>
            </w:r>
          </w:p>
        </w:tc>
      </w:tr>
      <w:tr>
        <w:tc>
          <w:tcPr>
            <w:tcW w:type="dxa" w:w="1008"/>
            <w:vAlign w:val="center"/>
            <w:tcMar>
              <w:top w:w="100" w:type="dxa"/>
              <w:start w:w="120" w:type="dxa"/>
              <w:bottom w:w="100" w:type="dxa"/>
              <w:end w:w="120" w:type="dxa"/>
            </w:tcMar>
          </w:tcPr>
          <w:p>
            <w:r>
              <w:rPr>
                <w:sz w:val="18"/>
              </w:rPr>
              <w:t>B-001</w:t>
            </w:r>
          </w:p>
        </w:tc>
        <w:tc>
          <w:tcPr>
            <w:tcW w:type="dxa" w:w="2016"/>
            <w:vAlign w:val="center"/>
            <w:tcMar>
              <w:top w:w="100" w:type="dxa"/>
              <w:start w:w="120" w:type="dxa"/>
              <w:bottom w:w="100" w:type="dxa"/>
              <w:end w:w="120" w:type="dxa"/>
            </w:tcMar>
          </w:tcPr>
          <w:p>
            <w:r>
              <w:rPr>
                <w:sz w:val="18"/>
              </w:rPr>
              <w:t>Benign workflow</w:t>
            </w:r>
          </w:p>
        </w:tc>
        <w:tc>
          <w:tcPr>
            <w:tcW w:type="dxa" w:w="4032"/>
            <w:vAlign w:val="center"/>
            <w:tcMar>
              <w:top w:w="100" w:type="dxa"/>
              <w:start w:w="120" w:type="dxa"/>
              <w:bottom w:w="100" w:type="dxa"/>
              <w:end w:w="120" w:type="dxa"/>
            </w:tcMar>
          </w:tcPr>
          <w:p>
            <w:r>
              <w:rPr>
                <w:sz w:val="18"/>
              </w:rPr>
              <w:t>No attack</w:t>
            </w:r>
          </w:p>
        </w:tc>
        <w:tc>
          <w:tcPr>
            <w:tcW w:type="dxa" w:w="2880"/>
            <w:vAlign w:val="center"/>
            <w:tcMar>
              <w:top w:w="100" w:type="dxa"/>
              <w:start w:w="120" w:type="dxa"/>
              <w:bottom w:w="100" w:type="dxa"/>
              <w:end w:w="120" w:type="dxa"/>
            </w:tcMar>
          </w:tcPr>
          <w:p>
            <w:r>
              <w:rPr>
                <w:sz w:val="18"/>
              </w:rPr>
              <w:t>Utility and overhead</w:t>
            </w:r>
          </w:p>
        </w:tc>
      </w:tr>
      <w:tr>
        <w:tc>
          <w:tcPr>
            <w:tcW w:type="dxa" w:w="1008"/>
            <w:vAlign w:val="center"/>
            <w:tcMar>
              <w:top w:w="100" w:type="dxa"/>
              <w:start w:w="120" w:type="dxa"/>
              <w:bottom w:w="100" w:type="dxa"/>
              <w:end w:w="120" w:type="dxa"/>
            </w:tcMar>
            <w:shd w:fill="F1F5F8"/>
          </w:tcPr>
          <w:p>
            <w:r>
              <w:rPr>
                <w:sz w:val="18"/>
              </w:rPr>
              <w:t>B-002</w:t>
            </w:r>
          </w:p>
        </w:tc>
        <w:tc>
          <w:tcPr>
            <w:tcW w:type="dxa" w:w="2016"/>
            <w:vAlign w:val="center"/>
            <w:tcMar>
              <w:top w:w="100" w:type="dxa"/>
              <w:start w:w="120" w:type="dxa"/>
              <w:bottom w:w="100" w:type="dxa"/>
              <w:end w:w="120" w:type="dxa"/>
            </w:tcMar>
            <w:shd w:fill="F1F5F8"/>
          </w:tcPr>
          <w:p>
            <w:r>
              <w:rPr>
                <w:sz w:val="18"/>
              </w:rPr>
              <w:t>Indirect prompt injection</w:t>
            </w:r>
          </w:p>
        </w:tc>
        <w:tc>
          <w:tcPr>
            <w:tcW w:type="dxa" w:w="4032"/>
            <w:vAlign w:val="center"/>
            <w:tcMar>
              <w:top w:w="100" w:type="dxa"/>
              <w:start w:w="120" w:type="dxa"/>
              <w:bottom w:w="100" w:type="dxa"/>
              <w:end w:w="120" w:type="dxa"/>
            </w:tcMar>
            <w:shd w:fill="F1F5F8"/>
          </w:tcPr>
          <w:p>
            <w:r>
              <w:rPr>
                <w:sz w:val="18"/>
              </w:rPr>
              <w:t>Poisoned external content triggers sensitive tool use</w:t>
            </w:r>
          </w:p>
        </w:tc>
        <w:tc>
          <w:tcPr>
            <w:tcW w:type="dxa" w:w="2880"/>
            <w:vAlign w:val="center"/>
            <w:tcMar>
              <w:top w:w="100" w:type="dxa"/>
              <w:start w:w="120" w:type="dxa"/>
              <w:bottom w:w="100" w:type="dxa"/>
              <w:end w:w="120" w:type="dxa"/>
            </w:tcMar>
            <w:shd w:fill="F1F5F8"/>
          </w:tcPr>
          <w:p>
            <w:r>
              <w:rPr>
                <w:sz w:val="18"/>
              </w:rPr>
              <w:t>Attack success, detection and containment</w:t>
            </w:r>
          </w:p>
        </w:tc>
      </w:tr>
      <w:tr>
        <w:tc>
          <w:tcPr>
            <w:tcW w:type="dxa" w:w="1008"/>
            <w:vAlign w:val="center"/>
            <w:tcMar>
              <w:top w:w="100" w:type="dxa"/>
              <w:start w:w="120" w:type="dxa"/>
              <w:bottom w:w="100" w:type="dxa"/>
              <w:end w:w="120" w:type="dxa"/>
            </w:tcMar>
          </w:tcPr>
          <w:p>
            <w:r>
              <w:rPr>
                <w:sz w:val="18"/>
              </w:rPr>
              <w:t>B-003</w:t>
            </w:r>
          </w:p>
        </w:tc>
        <w:tc>
          <w:tcPr>
            <w:tcW w:type="dxa" w:w="2016"/>
            <w:vAlign w:val="center"/>
            <w:tcMar>
              <w:top w:w="100" w:type="dxa"/>
              <w:start w:w="120" w:type="dxa"/>
              <w:bottom w:w="100" w:type="dxa"/>
              <w:end w:w="120" w:type="dxa"/>
            </w:tcMar>
          </w:tcPr>
          <w:p>
            <w:r>
              <w:rPr>
                <w:sz w:val="18"/>
              </w:rPr>
              <w:t>Memory poisoning</w:t>
            </w:r>
          </w:p>
        </w:tc>
        <w:tc>
          <w:tcPr>
            <w:tcW w:type="dxa" w:w="4032"/>
            <w:vAlign w:val="center"/>
            <w:tcMar>
              <w:top w:w="100" w:type="dxa"/>
              <w:start w:w="120" w:type="dxa"/>
              <w:bottom w:w="100" w:type="dxa"/>
              <w:end w:w="120" w:type="dxa"/>
            </w:tcMar>
          </w:tcPr>
          <w:p>
            <w:r>
              <w:rPr>
                <w:sz w:val="18"/>
              </w:rPr>
              <w:t>Contaminated memory propagates into later tasks</w:t>
            </w:r>
          </w:p>
        </w:tc>
        <w:tc>
          <w:tcPr>
            <w:tcW w:type="dxa" w:w="2880"/>
            <w:vAlign w:val="center"/>
            <w:tcMar>
              <w:top w:w="100" w:type="dxa"/>
              <w:start w:w="120" w:type="dxa"/>
              <w:bottom w:w="100" w:type="dxa"/>
              <w:end w:w="120" w:type="dxa"/>
            </w:tcMar>
          </w:tcPr>
          <w:p>
            <w:r>
              <w:rPr>
                <w:sz w:val="18"/>
              </w:rPr>
              <w:t>Blast radius and lineage isolation</w:t>
            </w:r>
          </w:p>
        </w:tc>
      </w:tr>
      <w:tr>
        <w:tc>
          <w:tcPr>
            <w:tcW w:type="dxa" w:w="1008"/>
            <w:vAlign w:val="center"/>
            <w:tcMar>
              <w:top w:w="100" w:type="dxa"/>
              <w:start w:w="120" w:type="dxa"/>
              <w:bottom w:w="100" w:type="dxa"/>
              <w:end w:w="120" w:type="dxa"/>
            </w:tcMar>
            <w:shd w:fill="F1F5F8"/>
          </w:tcPr>
          <w:p>
            <w:r>
              <w:rPr>
                <w:sz w:val="18"/>
              </w:rPr>
              <w:t>B-004</w:t>
            </w:r>
          </w:p>
        </w:tc>
        <w:tc>
          <w:tcPr>
            <w:tcW w:type="dxa" w:w="2016"/>
            <w:vAlign w:val="center"/>
            <w:tcMar>
              <w:top w:w="100" w:type="dxa"/>
              <w:start w:w="120" w:type="dxa"/>
              <w:bottom w:w="100" w:type="dxa"/>
              <w:end w:w="120" w:type="dxa"/>
            </w:tcMar>
            <w:shd w:fill="F1F5F8"/>
          </w:tcPr>
          <w:p>
            <w:r>
              <w:rPr>
                <w:sz w:val="18"/>
              </w:rPr>
              <w:t>Single malicious observer</w:t>
            </w:r>
          </w:p>
        </w:tc>
        <w:tc>
          <w:tcPr>
            <w:tcW w:type="dxa" w:w="4032"/>
            <w:vAlign w:val="center"/>
            <w:tcMar>
              <w:top w:w="100" w:type="dxa"/>
              <w:start w:w="120" w:type="dxa"/>
              <w:bottom w:w="100" w:type="dxa"/>
              <w:end w:w="120" w:type="dxa"/>
            </w:tcMar>
            <w:shd w:fill="F1F5F8"/>
          </w:tcPr>
          <w:p>
            <w:r>
              <w:rPr>
                <w:sz w:val="18"/>
              </w:rPr>
              <w:t>Valid identity publishes false observations</w:t>
            </w:r>
          </w:p>
        </w:tc>
        <w:tc>
          <w:tcPr>
            <w:tcW w:type="dxa" w:w="2880"/>
            <w:vAlign w:val="center"/>
            <w:tcMar>
              <w:top w:w="100" w:type="dxa"/>
              <w:start w:w="120" w:type="dxa"/>
              <w:bottom w:w="100" w:type="dxa"/>
              <w:end w:w="120" w:type="dxa"/>
            </w:tcMar>
            <w:shd w:fill="F1F5F8"/>
          </w:tcPr>
          <w:p>
            <w:r>
              <w:rPr>
                <w:sz w:val="18"/>
              </w:rPr>
              <w:t>Poison tolerance and false quarantine</w:t>
            </w:r>
          </w:p>
        </w:tc>
      </w:tr>
      <w:tr>
        <w:tc>
          <w:tcPr>
            <w:tcW w:type="dxa" w:w="1008"/>
            <w:vAlign w:val="center"/>
            <w:tcMar>
              <w:top w:w="100" w:type="dxa"/>
              <w:start w:w="120" w:type="dxa"/>
              <w:bottom w:w="100" w:type="dxa"/>
              <w:end w:w="120" w:type="dxa"/>
            </w:tcMar>
          </w:tcPr>
          <w:p>
            <w:r>
              <w:rPr>
                <w:sz w:val="18"/>
              </w:rPr>
              <w:t>B-005</w:t>
            </w:r>
          </w:p>
        </w:tc>
        <w:tc>
          <w:tcPr>
            <w:tcW w:type="dxa" w:w="2016"/>
            <w:vAlign w:val="center"/>
            <w:tcMar>
              <w:top w:w="100" w:type="dxa"/>
              <w:start w:w="120" w:type="dxa"/>
              <w:bottom w:w="100" w:type="dxa"/>
              <w:end w:w="120" w:type="dxa"/>
            </w:tcMar>
          </w:tcPr>
          <w:p>
            <w:r>
              <w:rPr>
                <w:sz w:val="18"/>
              </w:rPr>
              <w:t>Forged observer</w:t>
            </w:r>
          </w:p>
        </w:tc>
        <w:tc>
          <w:tcPr>
            <w:tcW w:type="dxa" w:w="4032"/>
            <w:vAlign w:val="center"/>
            <w:tcMar>
              <w:top w:w="100" w:type="dxa"/>
              <w:start w:w="120" w:type="dxa"/>
              <w:bottom w:w="100" w:type="dxa"/>
              <w:end w:w="120" w:type="dxa"/>
            </w:tcMar>
          </w:tcPr>
          <w:p>
            <w:r>
              <w:rPr>
                <w:sz w:val="18"/>
              </w:rPr>
              <w:t>Attacker attempts identity spoofing</w:t>
            </w:r>
          </w:p>
        </w:tc>
        <w:tc>
          <w:tcPr>
            <w:tcW w:type="dxa" w:w="2880"/>
            <w:vAlign w:val="center"/>
            <w:tcMar>
              <w:top w:w="100" w:type="dxa"/>
              <w:start w:w="120" w:type="dxa"/>
              <w:bottom w:w="100" w:type="dxa"/>
              <w:end w:w="120" w:type="dxa"/>
            </w:tcMar>
          </w:tcPr>
          <w:p>
            <w:r>
              <w:rPr>
                <w:sz w:val="18"/>
              </w:rPr>
              <w:t>Signature and identity rejection</w:t>
            </w:r>
          </w:p>
        </w:tc>
      </w:tr>
      <w:tr>
        <w:tc>
          <w:tcPr>
            <w:tcW w:type="dxa" w:w="1008"/>
            <w:vAlign w:val="center"/>
            <w:tcMar>
              <w:top w:w="100" w:type="dxa"/>
              <w:start w:w="120" w:type="dxa"/>
              <w:bottom w:w="100" w:type="dxa"/>
              <w:end w:w="120" w:type="dxa"/>
            </w:tcMar>
            <w:shd w:fill="F1F5F8"/>
          </w:tcPr>
          <w:p>
            <w:r>
              <w:rPr>
                <w:sz w:val="18"/>
              </w:rPr>
              <w:t>B-006</w:t>
            </w:r>
          </w:p>
        </w:tc>
        <w:tc>
          <w:tcPr>
            <w:tcW w:type="dxa" w:w="2016"/>
            <w:vAlign w:val="center"/>
            <w:tcMar>
              <w:top w:w="100" w:type="dxa"/>
              <w:start w:w="120" w:type="dxa"/>
              <w:bottom w:w="100" w:type="dxa"/>
              <w:end w:w="120" w:type="dxa"/>
            </w:tcMar>
            <w:shd w:fill="F1F5F8"/>
          </w:tcPr>
          <w:p>
            <w:r>
              <w:rPr>
                <w:sz w:val="18"/>
              </w:rPr>
              <w:t>Replay</w:t>
            </w:r>
          </w:p>
        </w:tc>
        <w:tc>
          <w:tcPr>
            <w:tcW w:type="dxa" w:w="4032"/>
            <w:vAlign w:val="center"/>
            <w:tcMar>
              <w:top w:w="100" w:type="dxa"/>
              <w:start w:w="120" w:type="dxa"/>
              <w:bottom w:w="100" w:type="dxa"/>
              <w:end w:w="120" w:type="dxa"/>
            </w:tcMar>
            <w:shd w:fill="F1F5F8"/>
          </w:tcPr>
          <w:p>
            <w:r>
              <w:rPr>
                <w:sz w:val="18"/>
              </w:rPr>
              <w:t>Old valid observation is resent</w:t>
            </w:r>
          </w:p>
        </w:tc>
        <w:tc>
          <w:tcPr>
            <w:tcW w:type="dxa" w:w="2880"/>
            <w:vAlign w:val="center"/>
            <w:tcMar>
              <w:top w:w="100" w:type="dxa"/>
              <w:start w:w="120" w:type="dxa"/>
              <w:bottom w:w="100" w:type="dxa"/>
              <w:end w:w="120" w:type="dxa"/>
            </w:tcMar>
            <w:shd w:fill="F1F5F8"/>
          </w:tcPr>
          <w:p>
            <w:r>
              <w:rPr>
                <w:sz w:val="18"/>
              </w:rPr>
              <w:t>Replay resistance</w:t>
            </w:r>
          </w:p>
        </w:tc>
      </w:tr>
      <w:tr>
        <w:tc>
          <w:tcPr>
            <w:tcW w:type="dxa" w:w="1008"/>
            <w:vAlign w:val="center"/>
            <w:tcMar>
              <w:top w:w="100" w:type="dxa"/>
              <w:start w:w="120" w:type="dxa"/>
              <w:bottom w:w="100" w:type="dxa"/>
              <w:end w:w="120" w:type="dxa"/>
            </w:tcMar>
          </w:tcPr>
          <w:p>
            <w:r>
              <w:rPr>
                <w:sz w:val="18"/>
              </w:rPr>
              <w:t>B-007</w:t>
            </w:r>
          </w:p>
        </w:tc>
        <w:tc>
          <w:tcPr>
            <w:tcW w:type="dxa" w:w="2016"/>
            <w:vAlign w:val="center"/>
            <w:tcMar>
              <w:top w:w="100" w:type="dxa"/>
              <w:start w:w="120" w:type="dxa"/>
              <w:bottom w:w="100" w:type="dxa"/>
              <w:end w:w="120" w:type="dxa"/>
            </w:tcMar>
          </w:tcPr>
          <w:p>
            <w:r>
              <w:rPr>
                <w:sz w:val="18"/>
              </w:rPr>
              <w:t>Delayed critical evidence</w:t>
            </w:r>
          </w:p>
        </w:tc>
        <w:tc>
          <w:tcPr>
            <w:tcW w:type="dxa" w:w="4032"/>
            <w:vAlign w:val="center"/>
            <w:tcMar>
              <w:top w:w="100" w:type="dxa"/>
              <w:start w:w="120" w:type="dxa"/>
              <w:bottom w:w="100" w:type="dxa"/>
              <w:end w:w="120" w:type="dxa"/>
            </w:tcMar>
          </w:tcPr>
          <w:p>
            <w:r>
              <w:rPr>
                <w:sz w:val="18"/>
              </w:rPr>
              <w:t>Evidence arrives after action request</w:t>
            </w:r>
          </w:p>
        </w:tc>
        <w:tc>
          <w:tcPr>
            <w:tcW w:type="dxa" w:w="2880"/>
            <w:vAlign w:val="center"/>
            <w:tcMar>
              <w:top w:w="100" w:type="dxa"/>
              <w:start w:w="120" w:type="dxa"/>
              <w:bottom w:w="100" w:type="dxa"/>
              <w:end w:w="120" w:type="dxa"/>
            </w:tcMar>
          </w:tcPr>
          <w:p>
            <w:r>
              <w:rPr>
                <w:sz w:val="18"/>
              </w:rPr>
              <w:t>Decision latency and safe degradation</w:t>
            </w:r>
          </w:p>
        </w:tc>
      </w:tr>
      <w:tr>
        <w:tc>
          <w:tcPr>
            <w:tcW w:type="dxa" w:w="1008"/>
            <w:vAlign w:val="center"/>
            <w:tcMar>
              <w:top w:w="100" w:type="dxa"/>
              <w:start w:w="120" w:type="dxa"/>
              <w:bottom w:w="100" w:type="dxa"/>
              <w:end w:w="120" w:type="dxa"/>
            </w:tcMar>
            <w:shd w:fill="F1F5F8"/>
          </w:tcPr>
          <w:p>
            <w:r>
              <w:rPr>
                <w:sz w:val="18"/>
              </w:rPr>
              <w:t>B-008</w:t>
            </w:r>
          </w:p>
        </w:tc>
        <w:tc>
          <w:tcPr>
            <w:tcW w:type="dxa" w:w="2016"/>
            <w:vAlign w:val="center"/>
            <w:tcMar>
              <w:top w:w="100" w:type="dxa"/>
              <w:start w:w="120" w:type="dxa"/>
              <w:bottom w:w="100" w:type="dxa"/>
              <w:end w:w="120" w:type="dxa"/>
            </w:tcMar>
            <w:shd w:fill="F1F5F8"/>
          </w:tcPr>
          <w:p>
            <w:r>
              <w:rPr>
                <w:sz w:val="18"/>
              </w:rPr>
              <w:t>Network partition</w:t>
            </w:r>
          </w:p>
        </w:tc>
        <w:tc>
          <w:tcPr>
            <w:tcW w:type="dxa" w:w="4032"/>
            <w:vAlign w:val="center"/>
            <w:tcMar>
              <w:top w:w="100" w:type="dxa"/>
              <w:start w:w="120" w:type="dxa"/>
              <w:bottom w:w="100" w:type="dxa"/>
              <w:end w:w="120" w:type="dxa"/>
            </w:tcMar>
            <w:shd w:fill="F1F5F8"/>
          </w:tcPr>
          <w:p>
            <w:r>
              <w:rPr>
                <w:sz w:val="18"/>
              </w:rPr>
              <w:t>Trust nodes split during attack</w:t>
            </w:r>
          </w:p>
        </w:tc>
        <w:tc>
          <w:tcPr>
            <w:tcW w:type="dxa" w:w="2880"/>
            <w:vAlign w:val="center"/>
            <w:tcMar>
              <w:top w:w="100" w:type="dxa"/>
              <w:start w:w="120" w:type="dxa"/>
              <w:bottom w:w="100" w:type="dxa"/>
              <w:end w:w="120" w:type="dxa"/>
            </w:tcMar>
            <w:shd w:fill="F1F5F8"/>
          </w:tcPr>
          <w:p>
            <w:r>
              <w:rPr>
                <w:sz w:val="18"/>
              </w:rPr>
              <w:t>Local availability and convergence</w:t>
            </w:r>
          </w:p>
        </w:tc>
      </w:tr>
      <w:tr>
        <w:tc>
          <w:tcPr>
            <w:tcW w:type="dxa" w:w="1008"/>
            <w:vAlign w:val="center"/>
            <w:tcMar>
              <w:top w:w="100" w:type="dxa"/>
              <w:start w:w="120" w:type="dxa"/>
              <w:bottom w:w="100" w:type="dxa"/>
              <w:end w:w="120" w:type="dxa"/>
            </w:tcMar>
          </w:tcPr>
          <w:p>
            <w:r>
              <w:rPr>
                <w:sz w:val="18"/>
              </w:rPr>
              <w:t>B-009</w:t>
            </w:r>
          </w:p>
        </w:tc>
        <w:tc>
          <w:tcPr>
            <w:tcW w:type="dxa" w:w="2016"/>
            <w:vAlign w:val="center"/>
            <w:tcMar>
              <w:top w:w="100" w:type="dxa"/>
              <w:start w:w="120" w:type="dxa"/>
              <w:bottom w:w="100" w:type="dxa"/>
              <w:end w:w="120" w:type="dxa"/>
            </w:tcMar>
          </w:tcPr>
          <w:p>
            <w:r>
              <w:rPr>
                <w:sz w:val="18"/>
              </w:rPr>
              <w:t>Clock skew</w:t>
            </w:r>
          </w:p>
        </w:tc>
        <w:tc>
          <w:tcPr>
            <w:tcW w:type="dxa" w:w="4032"/>
            <w:vAlign w:val="center"/>
            <w:tcMar>
              <w:top w:w="100" w:type="dxa"/>
              <w:start w:w="120" w:type="dxa"/>
              <w:bottom w:w="100" w:type="dxa"/>
              <w:end w:w="120" w:type="dxa"/>
            </w:tcMar>
          </w:tcPr>
          <w:p>
            <w:r>
              <w:rPr>
                <w:sz w:val="18"/>
              </w:rPr>
              <w:t>Nodes disagree on freshness</w:t>
            </w:r>
          </w:p>
        </w:tc>
        <w:tc>
          <w:tcPr>
            <w:tcW w:type="dxa" w:w="2880"/>
            <w:vAlign w:val="center"/>
            <w:tcMar>
              <w:top w:w="100" w:type="dxa"/>
              <w:start w:w="120" w:type="dxa"/>
              <w:bottom w:w="100" w:type="dxa"/>
              <w:end w:w="120" w:type="dxa"/>
            </w:tcMar>
          </w:tcPr>
          <w:p>
            <w:r>
              <w:rPr>
                <w:sz w:val="18"/>
              </w:rPr>
              <w:t>Expiration correctness and false decisions</w:t>
            </w:r>
          </w:p>
        </w:tc>
      </w:tr>
      <w:tr>
        <w:tc>
          <w:tcPr>
            <w:tcW w:type="dxa" w:w="1008"/>
            <w:vAlign w:val="center"/>
            <w:tcMar>
              <w:top w:w="100" w:type="dxa"/>
              <w:start w:w="120" w:type="dxa"/>
              <w:bottom w:w="100" w:type="dxa"/>
              <w:end w:w="120" w:type="dxa"/>
            </w:tcMar>
            <w:shd w:fill="F1F5F8"/>
          </w:tcPr>
          <w:p>
            <w:r>
              <w:rPr>
                <w:sz w:val="18"/>
              </w:rPr>
              <w:t>B-010</w:t>
            </w:r>
          </w:p>
        </w:tc>
        <w:tc>
          <w:tcPr>
            <w:tcW w:type="dxa" w:w="2016"/>
            <w:vAlign w:val="center"/>
            <w:tcMar>
              <w:top w:w="100" w:type="dxa"/>
              <w:start w:w="120" w:type="dxa"/>
              <w:bottom w:w="100" w:type="dxa"/>
              <w:end w:w="120" w:type="dxa"/>
            </w:tcMar>
            <w:shd w:fill="F1F5F8"/>
          </w:tcPr>
          <w:p>
            <w:r>
              <w:rPr>
                <w:sz w:val="18"/>
              </w:rPr>
              <w:t>Sybil domain</w:t>
            </w:r>
          </w:p>
        </w:tc>
        <w:tc>
          <w:tcPr>
            <w:tcW w:type="dxa" w:w="4032"/>
            <w:vAlign w:val="center"/>
            <w:tcMar>
              <w:top w:w="100" w:type="dxa"/>
              <w:start w:w="120" w:type="dxa"/>
              <w:bottom w:w="100" w:type="dxa"/>
              <w:end w:w="120" w:type="dxa"/>
            </w:tcMar>
            <w:shd w:fill="F1F5F8"/>
          </w:tcPr>
          <w:p>
            <w:r>
              <w:rPr>
                <w:sz w:val="18"/>
              </w:rPr>
              <w:t>Many nodes under one control authority</w:t>
            </w:r>
          </w:p>
        </w:tc>
        <w:tc>
          <w:tcPr>
            <w:tcW w:type="dxa" w:w="2880"/>
            <w:vAlign w:val="center"/>
            <w:tcMar>
              <w:top w:w="100" w:type="dxa"/>
              <w:start w:w="120" w:type="dxa"/>
              <w:bottom w:w="100" w:type="dxa"/>
              <w:end w:w="120" w:type="dxa"/>
            </w:tcMar>
            <w:shd w:fill="F1F5F8"/>
          </w:tcPr>
          <w:p>
            <w:r>
              <w:rPr>
                <w:sz w:val="18"/>
              </w:rPr>
              <w:t>Corroboration robustness</w:t>
            </w:r>
          </w:p>
        </w:tc>
      </w:tr>
      <w:tr>
        <w:tc>
          <w:tcPr>
            <w:tcW w:type="dxa" w:w="1008"/>
            <w:vAlign w:val="center"/>
            <w:tcMar>
              <w:top w:w="100" w:type="dxa"/>
              <w:start w:w="120" w:type="dxa"/>
              <w:bottom w:w="100" w:type="dxa"/>
              <w:end w:w="120" w:type="dxa"/>
            </w:tcMar>
          </w:tcPr>
          <w:p>
            <w:r>
              <w:rPr>
                <w:sz w:val="18"/>
              </w:rPr>
              <w:t>B-011</w:t>
            </w:r>
          </w:p>
        </w:tc>
        <w:tc>
          <w:tcPr>
            <w:tcW w:type="dxa" w:w="2016"/>
            <w:vAlign w:val="center"/>
            <w:tcMar>
              <w:top w:w="100" w:type="dxa"/>
              <w:start w:w="120" w:type="dxa"/>
              <w:bottom w:w="100" w:type="dxa"/>
              <w:end w:w="120" w:type="dxa"/>
            </w:tcMar>
          </w:tcPr>
          <w:p>
            <w:r>
              <w:rPr>
                <w:sz w:val="18"/>
              </w:rPr>
              <w:t>Colluding domains</w:t>
            </w:r>
          </w:p>
        </w:tc>
        <w:tc>
          <w:tcPr>
            <w:tcW w:type="dxa" w:w="4032"/>
            <w:vAlign w:val="center"/>
            <w:tcMar>
              <w:top w:w="100" w:type="dxa"/>
              <w:start w:w="120" w:type="dxa"/>
              <w:bottom w:w="100" w:type="dxa"/>
              <w:end w:w="120" w:type="dxa"/>
            </w:tcMar>
          </w:tcPr>
          <w:p>
            <w:r>
              <w:rPr>
                <w:sz w:val="18"/>
              </w:rPr>
              <w:t>Independent-looking compromised domains coordinate</w:t>
            </w:r>
          </w:p>
        </w:tc>
        <w:tc>
          <w:tcPr>
            <w:tcW w:type="dxa" w:w="2880"/>
            <w:vAlign w:val="center"/>
            <w:tcMar>
              <w:top w:w="100" w:type="dxa"/>
              <w:start w:w="120" w:type="dxa"/>
              <w:bottom w:w="100" w:type="dxa"/>
              <w:end w:w="120" w:type="dxa"/>
            </w:tcMar>
          </w:tcPr>
          <w:p>
            <w:r>
              <w:rPr>
                <w:sz w:val="18"/>
              </w:rPr>
              <w:t>Byzantine tolerance</w:t>
            </w:r>
          </w:p>
        </w:tc>
      </w:tr>
      <w:tr>
        <w:tc>
          <w:tcPr>
            <w:tcW w:type="dxa" w:w="1008"/>
            <w:vAlign w:val="center"/>
            <w:tcMar>
              <w:top w:w="100" w:type="dxa"/>
              <w:start w:w="120" w:type="dxa"/>
              <w:bottom w:w="100" w:type="dxa"/>
              <w:end w:w="120" w:type="dxa"/>
            </w:tcMar>
            <w:shd w:fill="F1F5F8"/>
          </w:tcPr>
          <w:p>
            <w:r>
              <w:rPr>
                <w:sz w:val="18"/>
              </w:rPr>
              <w:t>B-012</w:t>
            </w:r>
          </w:p>
        </w:tc>
        <w:tc>
          <w:tcPr>
            <w:tcW w:type="dxa" w:w="2016"/>
            <w:vAlign w:val="center"/>
            <w:tcMar>
              <w:top w:w="100" w:type="dxa"/>
              <w:start w:w="120" w:type="dxa"/>
              <w:bottom w:w="100" w:type="dxa"/>
              <w:end w:w="120" w:type="dxa"/>
            </w:tcMar>
            <w:shd w:fill="F1F5F8"/>
          </w:tcPr>
          <w:p>
            <w:r>
              <w:rPr>
                <w:sz w:val="18"/>
              </w:rPr>
              <w:t>Heartbeat suppression</w:t>
            </w:r>
          </w:p>
        </w:tc>
        <w:tc>
          <w:tcPr>
            <w:tcW w:type="dxa" w:w="4032"/>
            <w:vAlign w:val="center"/>
            <w:tcMar>
              <w:top w:w="100" w:type="dxa"/>
              <w:start w:w="120" w:type="dxa"/>
              <w:bottom w:w="100" w:type="dxa"/>
              <w:end w:w="120" w:type="dxa"/>
            </w:tcMar>
            <w:shd w:fill="F1F5F8"/>
          </w:tcPr>
          <w:p>
            <w:r>
              <w:rPr>
                <w:sz w:val="18"/>
              </w:rPr>
              <w:t>Sensor silently stops reporting</w:t>
            </w:r>
          </w:p>
        </w:tc>
        <w:tc>
          <w:tcPr>
            <w:tcW w:type="dxa" w:w="2880"/>
            <w:vAlign w:val="center"/>
            <w:tcMar>
              <w:top w:w="100" w:type="dxa"/>
              <w:start w:w="120" w:type="dxa"/>
              <w:bottom w:w="100" w:type="dxa"/>
              <w:end w:w="120" w:type="dxa"/>
            </w:tcMar>
            <w:shd w:fill="F1F5F8"/>
          </w:tcPr>
          <w:p>
            <w:r>
              <w:rPr>
                <w:sz w:val="18"/>
              </w:rPr>
              <w:t>Visibility degradation behavior</w:t>
            </w:r>
          </w:p>
        </w:tc>
      </w:tr>
      <w:tr>
        <w:tc>
          <w:tcPr>
            <w:tcW w:type="dxa" w:w="1008"/>
            <w:vAlign w:val="center"/>
            <w:tcMar>
              <w:top w:w="100" w:type="dxa"/>
              <w:start w:w="120" w:type="dxa"/>
              <w:bottom w:w="100" w:type="dxa"/>
              <w:end w:w="120" w:type="dxa"/>
            </w:tcMar>
          </w:tcPr>
          <w:p>
            <w:r>
              <w:rPr>
                <w:sz w:val="18"/>
              </w:rPr>
              <w:t>B-013</w:t>
            </w:r>
          </w:p>
        </w:tc>
        <w:tc>
          <w:tcPr>
            <w:tcW w:type="dxa" w:w="2016"/>
            <w:vAlign w:val="center"/>
            <w:tcMar>
              <w:top w:w="100" w:type="dxa"/>
              <w:start w:w="120" w:type="dxa"/>
              <w:bottom w:w="100" w:type="dxa"/>
              <w:end w:w="120" w:type="dxa"/>
            </w:tcMar>
          </w:tcPr>
          <w:p>
            <w:r>
              <w:rPr>
                <w:sz w:val="18"/>
              </w:rPr>
              <w:t>Credential theft</w:t>
            </w:r>
          </w:p>
        </w:tc>
        <w:tc>
          <w:tcPr>
            <w:tcW w:type="dxa" w:w="4032"/>
            <w:vAlign w:val="center"/>
            <w:tcMar>
              <w:top w:w="100" w:type="dxa"/>
              <w:start w:w="120" w:type="dxa"/>
              <w:bottom w:w="100" w:type="dxa"/>
              <w:end w:w="120" w:type="dxa"/>
            </w:tcMar>
          </w:tcPr>
          <w:p>
            <w:r>
              <w:rPr>
                <w:sz w:val="18"/>
              </w:rPr>
              <w:t>Valid credential used in anomalous context</w:t>
            </w:r>
          </w:p>
        </w:tc>
        <w:tc>
          <w:tcPr>
            <w:tcW w:type="dxa" w:w="2880"/>
            <w:vAlign w:val="center"/>
            <w:tcMar>
              <w:top w:w="100" w:type="dxa"/>
              <w:start w:w="120" w:type="dxa"/>
              <w:bottom w:w="100" w:type="dxa"/>
              <w:end w:w="120" w:type="dxa"/>
            </w:tcMar>
          </w:tcPr>
          <w:p>
            <w:r>
              <w:rPr>
                <w:sz w:val="18"/>
              </w:rPr>
              <w:t>Dynamic trust reduction</w:t>
            </w:r>
          </w:p>
        </w:tc>
      </w:tr>
      <w:tr>
        <w:tc>
          <w:tcPr>
            <w:tcW w:type="dxa" w:w="1008"/>
            <w:vAlign w:val="center"/>
            <w:tcMar>
              <w:top w:w="100" w:type="dxa"/>
              <w:start w:w="120" w:type="dxa"/>
              <w:bottom w:w="100" w:type="dxa"/>
              <w:end w:w="120" w:type="dxa"/>
            </w:tcMar>
            <w:shd w:fill="F1F5F8"/>
          </w:tcPr>
          <w:p>
            <w:r>
              <w:rPr>
                <w:sz w:val="18"/>
              </w:rPr>
              <w:t>B-014</w:t>
            </w:r>
          </w:p>
        </w:tc>
        <w:tc>
          <w:tcPr>
            <w:tcW w:type="dxa" w:w="2016"/>
            <w:vAlign w:val="center"/>
            <w:tcMar>
              <w:top w:w="100" w:type="dxa"/>
              <w:start w:w="120" w:type="dxa"/>
              <w:bottom w:w="100" w:type="dxa"/>
              <w:end w:w="120" w:type="dxa"/>
            </w:tcMar>
            <w:shd w:fill="F1F5F8"/>
          </w:tcPr>
          <w:p>
            <w:r>
              <w:rPr>
                <w:sz w:val="18"/>
              </w:rPr>
              <w:t>Evidence outage</w:t>
            </w:r>
          </w:p>
        </w:tc>
        <w:tc>
          <w:tcPr>
            <w:tcW w:type="dxa" w:w="4032"/>
            <w:vAlign w:val="center"/>
            <w:tcMar>
              <w:top w:w="100" w:type="dxa"/>
              <w:start w:w="120" w:type="dxa"/>
              <w:bottom w:w="100" w:type="dxa"/>
              <w:end w:w="120" w:type="dxa"/>
            </w:tcMar>
            <w:shd w:fill="F1F5F8"/>
          </w:tcPr>
          <w:p>
            <w:r>
              <w:rPr>
                <w:sz w:val="18"/>
              </w:rPr>
              <w:t>Evidence store unavailable</w:t>
            </w:r>
          </w:p>
        </w:tc>
        <w:tc>
          <w:tcPr>
            <w:tcW w:type="dxa" w:w="2880"/>
            <w:vAlign w:val="center"/>
            <w:tcMar>
              <w:top w:w="100" w:type="dxa"/>
              <w:start w:w="120" w:type="dxa"/>
              <w:bottom w:w="100" w:type="dxa"/>
              <w:end w:w="120" w:type="dxa"/>
            </w:tcMar>
            <w:shd w:fill="F1F5F8"/>
          </w:tcPr>
          <w:p>
            <w:r>
              <w:rPr>
                <w:sz w:val="18"/>
              </w:rPr>
              <w:t>Fail-open/closed tradeoff and utility</w:t>
            </w:r>
          </w:p>
        </w:tc>
      </w:tr>
      <w:tr>
        <w:tc>
          <w:tcPr>
            <w:tcW w:type="dxa" w:w="1008"/>
            <w:vAlign w:val="center"/>
            <w:tcMar>
              <w:top w:w="100" w:type="dxa"/>
              <w:start w:w="120" w:type="dxa"/>
              <w:bottom w:w="100" w:type="dxa"/>
              <w:end w:w="120" w:type="dxa"/>
            </w:tcMar>
          </w:tcPr>
          <w:p>
            <w:r>
              <w:rPr>
                <w:sz w:val="18"/>
              </w:rPr>
              <w:t>B-015</w:t>
            </w:r>
          </w:p>
        </w:tc>
        <w:tc>
          <w:tcPr>
            <w:tcW w:type="dxa" w:w="2016"/>
            <w:vAlign w:val="center"/>
            <w:tcMar>
              <w:top w:w="100" w:type="dxa"/>
              <w:start w:w="120" w:type="dxa"/>
              <w:bottom w:w="100" w:type="dxa"/>
              <w:end w:w="120" w:type="dxa"/>
            </w:tcMar>
          </w:tcPr>
          <w:p>
            <w:r>
              <w:rPr>
                <w:sz w:val="18"/>
              </w:rPr>
              <w:t>Recovery attempt</w:t>
            </w:r>
          </w:p>
        </w:tc>
        <w:tc>
          <w:tcPr>
            <w:tcW w:type="dxa" w:w="4032"/>
            <w:vAlign w:val="center"/>
            <w:tcMar>
              <w:top w:w="100" w:type="dxa"/>
              <w:start w:w="120" w:type="dxa"/>
              <w:bottom w:w="100" w:type="dxa"/>
              <w:end w:w="120" w:type="dxa"/>
            </w:tcMar>
          </w:tcPr>
          <w:p>
            <w:r>
              <w:rPr>
                <w:sz w:val="18"/>
              </w:rPr>
              <w:t>Clean checkpoint, re-attestation and rotation</w:t>
            </w:r>
          </w:p>
        </w:tc>
        <w:tc>
          <w:tcPr>
            <w:tcW w:type="dxa" w:w="2880"/>
            <w:vAlign w:val="center"/>
            <w:tcMar>
              <w:top w:w="100" w:type="dxa"/>
              <w:start w:w="120" w:type="dxa"/>
              <w:bottom w:w="100" w:type="dxa"/>
              <w:end w:w="120" w:type="dxa"/>
            </w:tcMar>
          </w:tcPr>
          <w:p>
            <w:r>
              <w:rPr>
                <w:sz w:val="18"/>
              </w:rPr>
              <w:t>Recovery time and recurrence</w:t>
            </w:r>
          </w:p>
        </w:tc>
      </w:tr>
      <w:tr>
        <w:tc>
          <w:tcPr>
            <w:tcW w:type="dxa" w:w="1008"/>
            <w:vAlign w:val="center"/>
            <w:tcMar>
              <w:top w:w="100" w:type="dxa"/>
              <w:start w:w="120" w:type="dxa"/>
              <w:bottom w:w="100" w:type="dxa"/>
              <w:end w:w="120" w:type="dxa"/>
            </w:tcMar>
            <w:shd w:fill="F1F5F8"/>
          </w:tcPr>
          <w:p>
            <w:r>
              <w:rPr>
                <w:sz w:val="18"/>
              </w:rPr>
              <w:t>B-016</w:t>
            </w:r>
          </w:p>
        </w:tc>
        <w:tc>
          <w:tcPr>
            <w:tcW w:type="dxa" w:w="2016"/>
            <w:vAlign w:val="center"/>
            <w:tcMar>
              <w:top w:w="100" w:type="dxa"/>
              <w:start w:w="120" w:type="dxa"/>
              <w:bottom w:w="100" w:type="dxa"/>
              <w:end w:w="120" w:type="dxa"/>
            </w:tcMar>
            <w:shd w:fill="F1F5F8"/>
          </w:tcPr>
          <w:p>
            <w:r>
              <w:rPr>
                <w:sz w:val="18"/>
              </w:rPr>
              <w:t>Mixed campaign</w:t>
            </w:r>
          </w:p>
        </w:tc>
        <w:tc>
          <w:tcPr>
            <w:tcW w:type="dxa" w:w="4032"/>
            <w:vAlign w:val="center"/>
            <w:tcMar>
              <w:top w:w="100" w:type="dxa"/>
              <w:start w:w="120" w:type="dxa"/>
              <w:bottom w:w="100" w:type="dxa"/>
              <w:end w:w="120" w:type="dxa"/>
            </w:tcMar>
            <w:shd w:fill="F1F5F8"/>
          </w:tcPr>
          <w:p>
            <w:r>
              <w:rPr>
                <w:sz w:val="18"/>
              </w:rPr>
              <w:t>Agent, observer and network attacks combined</w:t>
            </w:r>
          </w:p>
        </w:tc>
        <w:tc>
          <w:tcPr>
            <w:tcW w:type="dxa" w:w="2880"/>
            <w:vAlign w:val="center"/>
            <w:tcMar>
              <w:top w:w="100" w:type="dxa"/>
              <w:start w:w="120" w:type="dxa"/>
              <w:bottom w:w="100" w:type="dxa"/>
              <w:end w:w="120" w:type="dxa"/>
            </w:tcMar>
            <w:shd w:fill="F1F5F8"/>
          </w:tcPr>
          <w:p>
            <w:r>
              <w:rPr>
                <w:sz w:val="18"/>
              </w:rPr>
              <w:t>End-to-end resilience</w:t>
            </w:r>
          </w:p>
        </w:tc>
      </w:tr>
    </w:tbl>
    <w:p/>
    <w:p>
      <w:pPr>
        <w:pStyle w:val="Heading1"/>
      </w:pPr>
      <w:r>
        <w:t>Appendix D. Coding-Agent Handoff Checklist</w:t>
      </w:r>
    </w:p>
    <w:p>
      <w:pPr>
        <w:pStyle w:val="ListBullet"/>
      </w:pPr>
      <w:r>
        <w:t>Create the repository structure in Section 10.</w:t>
      </w:r>
    </w:p>
    <w:p>
      <w:pPr>
        <w:pStyle w:val="ListBullet"/>
      </w:pPr>
      <w:r>
        <w:t>Implement the v0.1 observation envelope and strict validator.</w:t>
      </w:r>
    </w:p>
    <w:p>
      <w:pPr>
        <w:pStyle w:val="ListBullet"/>
      </w:pPr>
      <w:r>
        <w:t>Implement deterministic key generation for tests, signing, verification, rotation and revocation stubs.</w:t>
      </w:r>
    </w:p>
    <w:p>
      <w:pPr>
        <w:pStyle w:val="ListBullet"/>
      </w:pPr>
      <w:r>
        <w:t>Implement observer scope registry and trust-domain metadata.</w:t>
      </w:r>
    </w:p>
    <w:p>
      <w:pPr>
        <w:pStyle w:val="ListBullet"/>
      </w:pPr>
      <w:r>
        <w:t>Implement immutable append-only event logging using JSONL or SQLite.</w:t>
      </w:r>
    </w:p>
    <w:p>
      <w:pPr>
        <w:pStyle w:val="ListBullet"/>
      </w:pPr>
      <w:r>
        <w:t>Implement replay cache, sequence tracking, TTL and configurable skew.</w:t>
      </w:r>
    </w:p>
    <w:p>
      <w:pPr>
        <w:pStyle w:val="ListBullet"/>
      </w:pPr>
      <w:r>
        <w:t>Implement a deterministic baseline trust engine with explainable rule contributions.</w:t>
      </w:r>
    </w:p>
    <w:p>
      <w:pPr>
        <w:pStyle w:val="ListBullet"/>
      </w:pPr>
      <w:r>
        <w:t>Implement allow, constrain and quarantine response adapters as no-op/simulation actions first.</w:t>
      </w:r>
    </w:p>
    <w:p>
      <w:pPr>
        <w:pStyle w:val="ListBullet"/>
      </w:pPr>
      <w:r>
        <w:t>Implement five-node protocol simulator with configurable malicious nodes.</w:t>
      </w:r>
    </w:p>
    <w:p>
      <w:pPr>
        <w:pStyle w:val="ListBullet"/>
      </w:pPr>
      <w:r>
        <w:t>Integrate transport fault injection or a Maelstrom-compatible adapter.</w:t>
      </w:r>
    </w:p>
    <w:p>
      <w:pPr>
        <w:pStyle w:val="ListBullet"/>
      </w:pPr>
      <w:r>
        <w:t>Implement conformance tests CT-001 through CT-020.</w:t>
      </w:r>
    </w:p>
    <w:p>
      <w:pPr>
        <w:pStyle w:val="ListBullet"/>
      </w:pPr>
      <w:r>
        <w:t>Implement benchmark scenarios B-001 through B-010 before adding LLM-driven scenarios.</w:t>
      </w:r>
    </w:p>
    <w:p>
      <w:pPr>
        <w:pStyle w:val="ListBullet"/>
      </w:pPr>
      <w:r>
        <w:t>Produce a machine-readable benchmark result record for every run.</w:t>
      </w:r>
    </w:p>
    <w:p>
      <w:pPr>
        <w:pStyle w:val="ListBullet"/>
      </w:pPr>
      <w:r>
        <w:t>Add Docker Compose for local reproducibility.</w:t>
      </w:r>
    </w:p>
    <w:p>
      <w:pPr>
        <w:pStyle w:val="ListBullet"/>
      </w:pPr>
      <w:r>
        <w:t>Add AgentDojo integration after protocol-only tests pass.</w:t>
      </w:r>
    </w:p>
    <w:p>
      <w:pPr>
        <w:pStyle w:val="ListBullet"/>
      </w:pPr>
      <w:r>
        <w:t>Add PyRIT or adaptive attacks only after deterministic attack cases are stable.</w:t>
      </w:r>
    </w:p>
    <w:p>
      <w:pPr>
        <w:pStyle w:val="ListBullet"/>
      </w:pPr>
      <w:r>
        <w:t>Document every deviation from this draft as an issue or OAT-RFC proposal.</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Definition of done for the first coding milestone</w:t>
            </w:r>
          </w:p>
          <w:p>
            <w:pPr>
              <w:spacing w:after="0"/>
            </w:pPr>
            <w:r>
              <w:t>A clean checkout can run one command that executes the conformance suite and ten deterministic benchmark scenarios, then produces raw event logs plus a summary containing attack success, false positives, detection latency, containment latency, convergence time and protocol overhead.</w:t>
            </w:r>
          </w:p>
        </w:tc>
      </w:tr>
    </w:tbl>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Experimental draft • Vendor-neutral • Subject to change through testing and OAT-RFC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OPEN AUTONOMOUS TRUST PROJECT  |  UNIFIED SPECIFICATION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83B56"/>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D5D7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F6F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B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4C6E8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