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4"/>
        </w:rPr>
        <w:t>TCOP — TRUST CONTEXT PROJECT</w:t>
      </w:r>
    </w:p>
    <w:p>
      <w:pPr>
        <w:pStyle w:val="Title"/>
        <w:jc w:val="center"/>
      </w:pPr>
      <w:r>
        <w:t>Storm in a TCOP: A Trust Context Architecture and Benchmark for Distributed Autonomous Systems</w:t>
      </w:r>
    </w:p>
    <w:p>
      <w:pPr>
        <w:pStyle w:val="Subtitle"/>
        <w:jc w:val="center"/>
      </w:pPr>
      <w:r>
        <w:t>Unified Project, Architecture, Discovery, Exchange, Resolution, Framework, Benchmark, and Governance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0.5 Research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Proposal</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TCOP family: TCA • TCDP • TCX • TCRS • TCBench • TCF • TC-RFC  |  Version 0.5</w:t>
      </w:r>
    </w:p>
    <w:p>
      <w:r>
        <w:br w:type="page"/>
      </w:r>
    </w:p>
    <w:p>
      <w:pPr>
        <w:pStyle w:val="Heading1"/>
      </w:pPr>
      <w:r>
        <w:t>Executive Summary</w:t>
      </w:r>
    </w:p>
    <w:p>
      <w:r>
        <w:t>TCOP, the Trust Context Project, is a vendor-neutral research and standards effort to define and evaluate distributed runtime trust for autonomous AI agents and other autonomous systems. Its organizing abstraction is trust context: the signed observations, evidence, provenance, authority, hierarchy, delegation, freshness, and capability scope from which each receiving system derives its own local trust decision.</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3312"/>
            <w:vAlign w:val="center"/>
          </w:tcPr>
          <w:p>
            <w:r>
              <w:t>TCOP</w:t>
            </w:r>
          </w:p>
        </w:tc>
        <w:tc>
          <w:tcPr>
            <w:tcW w:type="dxa" w:w="3312"/>
            <w:vAlign w:val="center"/>
          </w:tcPr>
          <w:p>
            <w:r>
              <w:t>Trust Context Project</w:t>
            </w:r>
          </w:p>
        </w:tc>
        <w:tc>
          <w:tcPr>
            <w:tcW w:type="dxa" w:w="3312"/>
            <w:vAlign w:val="center"/>
          </w:tcPr>
          <w:p>
            <w:r>
              <w:t>Umbrella research, standards, governance, and publication identity</w:t>
            </w:r>
          </w:p>
        </w:tc>
      </w:tr>
      <w:tr>
        <w:tc>
          <w:tcPr>
            <w:tcW w:type="dxa" w:w="3312"/>
            <w:vAlign w:val="center"/>
          </w:tcPr>
          <w:p>
            <w:r>
              <w:t>TCA</w:t>
            </w:r>
          </w:p>
        </w:tc>
        <w:tc>
          <w:tcPr>
            <w:tcW w:type="dxa" w:w="3312"/>
            <w:vAlign w:val="center"/>
          </w:tcPr>
          <w:p>
            <w:r>
              <w:t>Trust Context Architecture</w:t>
            </w:r>
          </w:p>
        </w:tc>
        <w:tc>
          <w:tcPr>
            <w:tcW w:type="dxa" w:w="3312"/>
            <w:vAlign w:val="center"/>
          </w:tcPr>
          <w:p>
            <w:r>
              <w:t>Roles, layering, threat model, trust lifecycle, containment, recovery, and architectural invariants</w:t>
            </w:r>
          </w:p>
        </w:tc>
      </w:tr>
      <w:tr>
        <w:tc>
          <w:tcPr>
            <w:tcW w:type="dxa" w:w="3312"/>
            <w:vAlign w:val="center"/>
          </w:tcPr>
          <w:p>
            <w:r>
              <w:t>TCDP</w:t>
            </w:r>
          </w:p>
        </w:tc>
        <w:tc>
          <w:tcPr>
            <w:tcW w:type="dxa" w:w="3312"/>
            <w:vAlign w:val="center"/>
          </w:tcPr>
          <w:p>
            <w:r>
              <w:t>Trust Context Discovery Protocol</w:t>
            </w:r>
          </w:p>
        </w:tc>
        <w:tc>
          <w:tcPr>
            <w:tcW w:type="dxa" w:w="3312"/>
            <w:vAlign w:val="center"/>
          </w:tcPr>
          <w:p>
            <w:r>
              <w:t>Discovery of trust-context publishers, endpoints, keys, supported versions, and authority manifests</w:t>
            </w:r>
          </w:p>
        </w:tc>
      </w:tr>
      <w:tr>
        <w:tc>
          <w:tcPr>
            <w:tcW w:type="dxa" w:w="3312"/>
            <w:vAlign w:val="center"/>
          </w:tcPr>
          <w:p>
            <w:r>
              <w:t>TCX</w:t>
            </w:r>
          </w:p>
        </w:tc>
        <w:tc>
          <w:tcPr>
            <w:tcW w:type="dxa" w:w="3312"/>
            <w:vAlign w:val="center"/>
          </w:tcPr>
          <w:p>
            <w:r>
              <w:t>Trust Context Exchange</w:t>
            </w:r>
          </w:p>
        </w:tc>
        <w:tc>
          <w:tcPr>
            <w:tcW w:type="dxa" w:w="3312"/>
            <w:vAlign w:val="center"/>
          </w:tcPr>
          <w:p>
            <w:r>
              <w:t>Wire semantics, message schemas, identity/signature rules, replay protection, synchronization, and transport profiles</w:t>
            </w:r>
          </w:p>
        </w:tc>
      </w:tr>
      <w:tr>
        <w:tc>
          <w:tcPr>
            <w:tcW w:type="dxa" w:w="3312"/>
            <w:vAlign w:val="center"/>
          </w:tcPr>
          <w:p>
            <w:r>
              <w:t>TCRS</w:t>
            </w:r>
          </w:p>
        </w:tc>
        <w:tc>
          <w:tcPr>
            <w:tcW w:type="dxa" w:w="3312"/>
            <w:vAlign w:val="center"/>
          </w:tcPr>
          <w:p>
            <w:r>
              <w:t>Trust Context Resolution Specification</w:t>
            </w:r>
          </w:p>
        </w:tc>
        <w:tc>
          <w:tcPr>
            <w:tcW w:type="dxa" w:w="3312"/>
            <w:vAlign w:val="center"/>
          </w:tcPr>
          <w:p>
            <w:r>
              <w:t>Local authority validation, namespace and hierarchy mapping, evidence reconciliation, and operating-envelope requirements</w:t>
            </w:r>
          </w:p>
        </w:tc>
      </w:tr>
      <w:tr>
        <w:tc>
          <w:tcPr>
            <w:tcW w:type="dxa" w:w="3312"/>
            <w:vAlign w:val="center"/>
          </w:tcPr>
          <w:p>
            <w:r>
              <w:t>TCBench</w:t>
            </w:r>
          </w:p>
        </w:tc>
        <w:tc>
          <w:tcPr>
            <w:tcW w:type="dxa" w:w="3312"/>
            <w:vAlign w:val="center"/>
          </w:tcPr>
          <w:p>
            <w:r>
              <w:t>Trust Context Benchmark</w:t>
            </w:r>
          </w:p>
        </w:tc>
        <w:tc>
          <w:tcPr>
            <w:tcW w:type="dxa" w:w="3312"/>
            <w:vAlign w:val="center"/>
          </w:tcPr>
          <w:p>
            <w:r>
              <w:t>Attack corpus, workloads, metrics, harnesses, reproducibility artifacts, and comparative results</w:t>
            </w:r>
          </w:p>
        </w:tc>
      </w:tr>
      <w:tr>
        <w:tc>
          <w:tcPr>
            <w:tcW w:type="dxa" w:w="3312"/>
            <w:vAlign w:val="center"/>
          </w:tcPr>
          <w:p>
            <w:r>
              <w:t>TCF</w:t>
            </w:r>
          </w:p>
        </w:tc>
        <w:tc>
          <w:tcPr>
            <w:tcW w:type="dxa" w:w="3312"/>
            <w:vAlign w:val="center"/>
          </w:tcPr>
          <w:p>
            <w:r>
              <w:t>Trust Context Framework</w:t>
            </w:r>
          </w:p>
        </w:tc>
        <w:tc>
          <w:tcPr>
            <w:tcW w:type="dxa" w:w="3312"/>
            <w:vAlign w:val="center"/>
          </w:tcPr>
          <w:p>
            <w:r>
              <w:t>Readable reference implementation and integrations used as the initial benchmark baseline</w:t>
            </w:r>
          </w:p>
        </w:tc>
      </w:tr>
      <w:tr>
        <w:tc>
          <w:tcPr>
            <w:tcW w:type="dxa" w:w="3312"/>
            <w:vAlign w:val="center"/>
          </w:tcPr>
          <w:p>
            <w:r>
              <w:t>TC-RFC</w:t>
            </w:r>
          </w:p>
        </w:tc>
        <w:tc>
          <w:tcPr>
            <w:tcW w:type="dxa" w:w="3312"/>
            <w:vAlign w:val="center"/>
          </w:tcPr>
          <w:p>
            <w:r>
              <w:t>Trust Context Request for Comments</w:t>
            </w:r>
          </w:p>
        </w:tc>
        <w:tc>
          <w:tcPr>
            <w:tcW w:type="dxa" w:w="3312"/>
            <w:vAlign w:val="center"/>
          </w:tcPr>
          <w:p>
            <w:r>
              <w:t>Open evolution process for specifications, profiles, and extensions</w:t>
            </w:r>
          </w:p>
        </w:tc>
      </w:tr>
    </w:tbl>
    <w:p/>
    <w:p>
      <w:pPr>
        <w:pStyle w:val="Heading1"/>
      </w:pPr>
      <w:r>
        <w:t>Project Nomenclature</w:t>
      </w:r>
    </w:p>
    <w:p>
      <w:r>
        <w:t>TCOP is the umbrella project and governance identity. The paper and proposal use the working title “Storm in a TCOP,” pairing a memorable name with a descriptive subtitle. The component names reflect a strict architectural separation: discovery locates publishers, exchange transports trust context, local resolution derives trust, the benchmark evaluates outcomes, and the framework provides a non-authoritative reference implementation.</w:t>
      </w:r>
    </w:p>
    <w:p>
      <w:pPr>
        <w:pStyle w:val="ListBullet"/>
      </w:pPr>
      <w:r>
        <w:t>TCA — Trust Context Architecture: the overall roles, layers, invariants, threat model, and lifecycle.</w:t>
      </w:r>
    </w:p>
    <w:p>
      <w:pPr>
        <w:pStyle w:val="ListBullet"/>
      </w:pPr>
      <w:r>
        <w:t>TCDP — Trust Context Discovery Protocol: discovery of publishers, endpoints, keys, capabilities, and authority manifests.</w:t>
      </w:r>
    </w:p>
    <w:p>
      <w:pPr>
        <w:pStyle w:val="ListBullet"/>
      </w:pPr>
      <w:r>
        <w:t>TCX — Trust Context Exchange: transport-neutral semantics for exchanging signed observations, evidence references, authority metadata, and related context.</w:t>
      </w:r>
    </w:p>
    <w:p>
      <w:pPr>
        <w:pStyle w:val="ListBullet"/>
      </w:pPr>
      <w:r>
        <w:t>TCRS — Trust Context Resolution Specification: requirements and interfaces for local reconciliation without mandating a universal scoring algorithm.</w:t>
      </w:r>
    </w:p>
    <w:p>
      <w:pPr>
        <w:pStyle w:val="ListBullet"/>
      </w:pPr>
      <w:r>
        <w:t>TCBench — Trust Context Benchmark: reproducible comparison of rogue-agent resilience, false alarms, detection, isolation, recovery, and overhead.</w:t>
      </w:r>
    </w:p>
    <w:p>
      <w:pPr>
        <w:pStyle w:val="ListBullet"/>
      </w:pPr>
      <w:r>
        <w:t>TCF — Trust Context Framework: the readable, replaceable reference implementation used to exercise the specifications.</w:t>
      </w:r>
    </w:p>
    <w:p>
      <w:pPr>
        <w:pStyle w:val="ListBullet"/>
      </w:pPr>
      <w:r>
        <w:t>TC-RFC — the open change and extension process for the TCOP specification family.</w:t>
      </w:r>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pPr/>
      <w:r>
        <w:t>A decentralized, context-aware runtime trust protocol that exchanges signed, scoped, expiring observations and reconciles federated trust contexts locally can reduce rogue-agent attack success, blast radius, and containment latency relative to policy-only, isolated-guardrail, and centralized-monitoring approaches, while maintaining acceptable false-positive rates and benign task utility even when some observers or protocol participants are compromised.</w:t>
      </w:r>
    </w:p>
    <w:p>
      <w:pPr>
        <w:pStyle w:val="Heading2"/>
      </w:pPr>
      <w:r>
        <w:t>1.3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TCX provides no meaningful benefit, observer-compromise thresholds at which it fails, and operating conditions that create unacceptable false containment, are first-class research outcomes rather than implementation defects to be hidden.</w:t>
      </w:r>
    </w:p>
    <w:p>
      <w:pPr>
        <w:pStyle w:val="Heading2"/>
      </w:pPr>
      <w:r>
        <w:t>1.4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TCX</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TCX / TCA</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1.5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r>
              <w:t>TCOP — Trust Context Project</w:t>
              <w:br/>
              <w:t>|-- TCA       Trust Context Architecture</w:t>
              <w:br/>
              <w:t>|-- TCDP      Discovery protocol</w:t>
              <w:br/>
              <w:t>|-- TCX       Trust context exchange</w:t>
              <w:br/>
              <w:t>|-- TCRS      Local resolution specification</w:t>
              <w:br/>
              <w:t>|-- TCBench   Benchmark and attack corpus</w:t>
              <w:br/>
              <w:t>|-- TCF       Reference implementation</w:t>
              <w:br/>
              <w:t>`-- TC-RFC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TCX</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TCA</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TCBench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TCF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TC-RFC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TCX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TCA and TCRS: Trust Context Architecture and Local Resolution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TCA and TCX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1"/>
      </w:pPr>
      <w:r>
        <w:t>5. TCX and TCDP: Trust Context Exchange and Discovery Protocols</w:t>
      </w:r>
    </w:p>
    <w:p>
      <w:pPr>
        <w:pStyle w:val="Heading2"/>
      </w:pPr>
      <w:r>
        <w:t>5.1 Protocol purpose</w:t>
      </w:r>
    </w:p>
    <w:p>
      <w:r>
        <w:t>TCX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TCX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TCX may transport signed trust-context manifests and delegation records, but it must not transport a universal final trust score as protocol truth. Remote assertions and recommendations must remain distinguishable from direct observations and local decisions.</w:t>
      </w:r>
    </w:p>
    <w:p>
      <w:pPr>
        <w:pStyle w:val="Heading2"/>
      </w:pPr>
      <w:r>
        <w:t>5.8 TCDP Discovery Semantics</w:t>
      </w:r>
    </w:p>
    <w:p>
      <w:pPr/>
      <w:r>
        <w:t>TCDP discovers trust-context publishers and their verifiable metadata, including endpoints, verification keys, supported TCX versions and bindings, observer classes, authority manifests, and TTLs. Discovery is separable from exchange so DNS, service registries, Kubernetes, SPIFFE, static configuration, or future mechanisms can be used without changing TCX semantics. TCDP discovery data is not itself a trust verdict.</w:t>
      </w:r>
    </w:p>
    <w:p>
      <w:pPr>
        <w:pStyle w:val="Heading2"/>
      </w:pPr>
      <w:r>
        <w:t>5.8 Identity, signatures, and attestation</w:t>
      </w:r>
    </w:p>
    <w:p>
      <w:r>
        <w:t>TCX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TCX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5.14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TCF: Trust Context Reference Framework</w:t>
      </w:r>
    </w:p>
    <w:p>
      <w:r>
        <w:t>TCF is the initial readable implementation of TCX and TCA and the baseline system under test for TCBench.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TCBench.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TCBench: Trust Context Benchmark Specification</w:t>
      </w:r>
    </w:p>
    <w:p>
      <w:pPr>
        <w:pStyle w:val="Heading2"/>
      </w:pPr>
      <w:r>
        <w:t>7.1 Purpose</w:t>
      </w:r>
    </w:p>
    <w:p>
      <w:r>
        <w:t>TCBench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TCX-enabled: distributed signed observations, local trust-context reconciliation, and local bounded containment.</w:t>
      </w:r>
    </w:p>
    <w:p>
      <w:pPr>
        <w:pStyle w:val="ListBullet"/>
      </w:pPr>
      <w:r>
        <w:t>TCX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TCX/TCF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"TCF",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TCBench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TCBench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TCBench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TCX provides no meaningful improvement or performs worse than a baseline.</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TCA/TCX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TC-RFC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TC-RFC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TCX</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TCA</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TCBench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TCF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TC-RFC-0000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TC-RFC-0001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TC-RFC-0002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TC-RFC-0003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TC-RFC-0004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TC-RFC-0005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TC-RFC-0006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TC-RFC-0007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TCX to tool-using AI agent environments</w:t>
            </w:r>
          </w:p>
        </w:tc>
      </w:tr>
      <w:tr>
        <w:tc>
          <w:tcPr>
            <w:tcW w:type="dxa" w:w="1728"/>
            <w:vAlign w:val="center"/>
            <w:tcMar>
              <w:top w:w="100" w:type="dxa"/>
              <w:start w:w="120" w:type="dxa"/>
              <w:bottom w:w="100" w:type="dxa"/>
              <w:end w:w="120" w:type="dxa"/>
            </w:tcMar>
          </w:tcPr>
          <w:p>
            <w:r>
              <w:rPr>
                <w:sz w:val="18"/>
              </w:rPr>
              <w:t>TC-RFC-0008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TCBench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TC-RFC-0000.md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TCX v0.1 specification and JSON Schema.</w:t>
      </w:r>
    </w:p>
    <w:p>
      <w:pPr>
        <w:pStyle w:val="ListBullet"/>
      </w:pPr>
      <w:r>
        <w:t>TCA v0.1 architecture and threat model.</w:t>
      </w:r>
    </w:p>
    <w:p>
      <w:pPr>
        <w:pStyle w:val="ListBullet"/>
      </w:pPr>
      <w:r>
        <w:t>TCF reference implementation.</w:t>
      </w:r>
    </w:p>
    <w:p>
      <w:pPr>
        <w:pStyle w:val="ListBullet"/>
      </w:pPr>
      <w:r>
        <w:t>TCBench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TCX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TCBench as an Independent Research Contribution</w:t>
      </w:r>
    </w:p>
    <w:p>
      <w:r>
        <w:t>TCBench may have research value independently of broad TCX adoption. Protocol standards often require years of implementation and governance before they become infrastructure, while a rigorous benchmark can immediately improve how autonomous-system security claims are evaluated. TCBench should therefore be designed so that policy-only systems, local guardrails, centralized monitors, alternative decentralized protocols, and future defenses can all be compared without adopting TCX.</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TCBench, comparing centralized and decentralized trust models, studying Byzantine observer tolerance, and measuring the security-utility frontier of evidence and corroboration policies.</w:t>
      </w:r>
    </w:p>
    <w:p>
      <w:pPr>
        <w:pStyle w:val="Heading2"/>
      </w:pPr>
      <w:r>
        <w:t>11.4 Reviewer-Facing Positioning</w:t>
      </w:r>
    </w:p>
    <w:p>
      <w:r>
        <w:t>The paper should answer “Why does this not already exist?” within its opening pages. It must distinguish the proposed contribution from workload identity, policy engines, observability, zero-trust architecture, and centralized security analytics before introducing implementation detail. The strongest defensible claim is not that related mechanisms are absent,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TCX is justified only where cross-system context, partial information, local sovereignty, and resilience to compromised or unavailable coordinators materially improve outcomes.</w:t>
      </w:r>
    </w:p>
    <w:p>
      <w:pPr>
        <w:pStyle w:val="Heading2"/>
      </w:pPr>
      <w:r>
        <w:t>11.5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The primary hypothesis is falsifiable through published baselines, scenarios, raw results, and statistical analysis.</w:t>
      </w:r>
    </w:p>
    <w:p>
      <w:pPr>
        <w:pStyle w:val="ListBullet"/>
      </w:pPr>
      <w:r>
        <w:t>TCBench remains usable to evaluate non-TCX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Heading1"/>
      </w:pPr>
      <w:r>
        <w:t>12. Open Questions and Evolution Policy</w:t>
      </w:r>
    </w:p>
    <w:p>
      <w:pPr>
        <w:pStyle w:val="ListBullet"/>
      </w:pPr>
      <w:r>
        <w:t>What constitutes a sufficiently direct observation versus an assertion?</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TC-RFCs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TC-RFC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and standards draft | Trust context architecture, exchange, discovery, resolution, benchmark, and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TCOP — TRUST CONTEXT PROJECT  |  UNIFIED SPECIFICATION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in a TCOP: A Trust Context Architecture and Benchmark for Distributed Autonomous Systems</dc:title>
  <dc:subject>TCOP unified research, architecture, protocol, benchmark, framework, and governance specification v0.5</dc:subject>
  <dc:creator>python-docx</dc:creator>
  <cp:keywords>TCOP, trust context, TCA, TCDP, TCX, TCRS, TCBench, TCF, autonomous agents, runtime trust</cp:keywords>
  <dc:description>generated by python-docx</dc:description>
  <cp:lastModifiedBy/>
  <cp:revision>1</cp:revision>
  <dcterms:created xsi:type="dcterms:W3CDTF">2013-12-23T23:15:00Z</dcterms:created>
  <dcterms:modified xsi:type="dcterms:W3CDTF">2013-12-23T23:15:00Z</dcterms:modified>
  <cp:category/>
</cp:coreProperties>
</file>