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4"/>
        </w:rPr>
        <w:t>TCOP — TRUST CONTEXT PROJECT</w:t>
      </w:r>
    </w:p>
    <w:p>
      <w:pPr>
        <w:pStyle w:val="Title"/>
        <w:jc w:val="center"/>
      </w:pPr>
      <w:r>
        <w:t>Storm in a TCOP: A Trust Context Architecture and Benchmark for Distributed Autonomous Systems</w:t>
      </w:r>
    </w:p>
    <w:p>
      <w:pPr>
        <w:pStyle w:val="Subtitle"/>
        <w:jc w:val="center"/>
      </w:pPr>
      <w:r>
        <w:t>Unified Project, Architecture, Discovery, Exchange, Resolution, Framework, Benchmark, and Governance Specification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0.7 Research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Proposal</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t>TCOP family: TCA • TCDP • TCX • TCRS • TCBench • TCF • TC-RFC  |  Version 0.9</w:t>
      </w:r>
    </w:p>
    <w:p>
      <w:r/>
    </w:p>
    <w:p>
      <w:pPr>
        <w:pStyle w:val="Heading1"/>
      </w:pPr>
      <w:r>
        <w:t>Executive Summary</w:t>
      </w:r>
    </w:p>
    <w:p>
      <w:r>
        <w:t>TCOP, the Trust Context Project, is a vendor-neutral research and standards effort to define and evaluate distributed runtime trust for autonomous AI agents and other autonomous systems operating across independent administrative trust domains. Its organizing abstraction is trust context: the signed observations, evidence, provenance, authority, hierarchy, delegation, freshness, and capability scope from which each receiving system derives its own local trust decision.</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discovery, observation exchange, evidence references, authority and hierarchy metadata, protocol invariants, conformance requirements, and a benchmark for comparing implementations under realistic attacks and distributed-system failures. Remote systems publish trust context; each receiving system reconciles that context locally and retains sovereignty over the final trust decision and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3312"/>
            <w:vAlign w:val="center"/>
          </w:tcPr>
          <w:p>
            <w:r>
              <w:t>TCOP</w:t>
            </w:r>
          </w:p>
        </w:tc>
        <w:tc>
          <w:tcPr>
            <w:tcW w:type="dxa" w:w="3312"/>
            <w:vAlign w:val="center"/>
          </w:tcPr>
          <w:p>
            <w:r>
              <w:t>Trust Context Project</w:t>
            </w:r>
          </w:p>
        </w:tc>
        <w:tc>
          <w:tcPr>
            <w:tcW w:type="dxa" w:w="3312"/>
            <w:vAlign w:val="center"/>
          </w:tcPr>
          <w:p>
            <w:r>
              <w:t>Umbrella research, standards, governance, and publication identity</w:t>
            </w:r>
          </w:p>
        </w:tc>
      </w:tr>
      <w:tr>
        <w:tc>
          <w:tcPr>
            <w:tcW w:type="dxa" w:w="3312"/>
            <w:vAlign w:val="center"/>
          </w:tcPr>
          <w:p>
            <w:r>
              <w:t>TCA</w:t>
            </w:r>
          </w:p>
        </w:tc>
        <w:tc>
          <w:tcPr>
            <w:tcW w:type="dxa" w:w="3312"/>
            <w:vAlign w:val="center"/>
          </w:tcPr>
          <w:p>
            <w:r>
              <w:t>Trust Context Architecture</w:t>
            </w:r>
          </w:p>
        </w:tc>
        <w:tc>
          <w:tcPr>
            <w:tcW w:type="dxa" w:w="3312"/>
            <w:vAlign w:val="center"/>
          </w:tcPr>
          <w:p>
            <w:r>
              <w:t>Roles, layering, threat model, trust lifecycle, containment, recovery, and architectural invariants</w:t>
            </w:r>
          </w:p>
        </w:tc>
      </w:tr>
      <w:tr>
        <w:tc>
          <w:tcPr>
            <w:tcW w:type="dxa" w:w="3312"/>
            <w:vAlign w:val="center"/>
          </w:tcPr>
          <w:p>
            <w:r>
              <w:t>TCDP</w:t>
            </w:r>
          </w:p>
        </w:tc>
        <w:tc>
          <w:tcPr>
            <w:tcW w:type="dxa" w:w="3312"/>
            <w:vAlign w:val="center"/>
          </w:tcPr>
          <w:p>
            <w:r>
              <w:t>Trust Context Discovery Protocol</w:t>
            </w:r>
          </w:p>
        </w:tc>
        <w:tc>
          <w:tcPr>
            <w:tcW w:type="dxa" w:w="3312"/>
            <w:vAlign w:val="center"/>
          </w:tcPr>
          <w:p>
            <w:r>
              <w:t>Discovery of trust-context publishers, endpoints, keys, supported versions, and authority manifests</w:t>
            </w:r>
          </w:p>
        </w:tc>
      </w:tr>
      <w:tr>
        <w:tc>
          <w:tcPr>
            <w:tcW w:type="dxa" w:w="3312"/>
            <w:vAlign w:val="center"/>
          </w:tcPr>
          <w:p>
            <w:r>
              <w:t>TCX</w:t>
            </w:r>
          </w:p>
        </w:tc>
        <w:tc>
          <w:tcPr>
            <w:tcW w:type="dxa" w:w="3312"/>
            <w:vAlign w:val="center"/>
          </w:tcPr>
          <w:p>
            <w:r>
              <w:t>Trust Context Exchange</w:t>
            </w:r>
          </w:p>
        </w:tc>
        <w:tc>
          <w:tcPr>
            <w:tcW w:type="dxa" w:w="3312"/>
            <w:vAlign w:val="center"/>
          </w:tcPr>
          <w:p>
            <w:r>
              <w:t>Wire semantics, message schemas, identity/signature rules, replay protection, synchronization, and transport profiles</w:t>
            </w:r>
          </w:p>
        </w:tc>
      </w:tr>
      <w:tr>
        <w:tc>
          <w:tcPr>
            <w:tcW w:type="dxa" w:w="3312"/>
            <w:vAlign w:val="center"/>
          </w:tcPr>
          <w:p>
            <w:r>
              <w:t>TCRS</w:t>
            </w:r>
          </w:p>
        </w:tc>
        <w:tc>
          <w:tcPr>
            <w:tcW w:type="dxa" w:w="3312"/>
            <w:vAlign w:val="center"/>
          </w:tcPr>
          <w:p>
            <w:r>
              <w:t>Trust Context Resolution Specification</w:t>
            </w:r>
          </w:p>
        </w:tc>
        <w:tc>
          <w:tcPr>
            <w:tcW w:type="dxa" w:w="3312"/>
            <w:vAlign w:val="center"/>
          </w:tcPr>
          <w:p>
            <w:r>
              <w:t>Local authority validation, namespace and hierarchy mapping, evidence reconciliation, and operating-envelope requirements</w:t>
            </w:r>
          </w:p>
        </w:tc>
      </w:tr>
      <w:tr>
        <w:tc>
          <w:tcPr>
            <w:tcW w:type="dxa" w:w="3312"/>
            <w:vAlign w:val="center"/>
          </w:tcPr>
          <w:p>
            <w:r>
              <w:t>TCBench</w:t>
            </w:r>
          </w:p>
        </w:tc>
        <w:tc>
          <w:tcPr>
            <w:tcW w:type="dxa" w:w="3312"/>
            <w:vAlign w:val="center"/>
          </w:tcPr>
          <w:p>
            <w:r>
              <w:t>Trust Context Benchmark</w:t>
            </w:r>
          </w:p>
        </w:tc>
        <w:tc>
          <w:tcPr>
            <w:tcW w:type="dxa" w:w="3312"/>
            <w:vAlign w:val="center"/>
          </w:tcPr>
          <w:p>
            <w:r>
              <w:t>Attack corpus, workloads, metrics, harnesses, reproducibility artifacts, and comparative results</w:t>
            </w:r>
          </w:p>
        </w:tc>
      </w:tr>
      <w:tr>
        <w:tc>
          <w:tcPr>
            <w:tcW w:type="dxa" w:w="3312"/>
            <w:vAlign w:val="center"/>
          </w:tcPr>
          <w:p>
            <w:r>
              <w:t>TCF</w:t>
            </w:r>
          </w:p>
        </w:tc>
        <w:tc>
          <w:tcPr>
            <w:tcW w:type="dxa" w:w="3312"/>
            <w:vAlign w:val="center"/>
          </w:tcPr>
          <w:p>
            <w:r>
              <w:t>Trust Context Framework</w:t>
            </w:r>
          </w:p>
        </w:tc>
        <w:tc>
          <w:tcPr>
            <w:tcW w:type="dxa" w:w="3312"/>
            <w:vAlign w:val="center"/>
          </w:tcPr>
          <w:p>
            <w:r>
              <w:t>Readable reference implementation and integrations used as the initial benchmark baseline</w:t>
            </w:r>
          </w:p>
        </w:tc>
      </w:tr>
      <w:tr>
        <w:tc>
          <w:tcPr>
            <w:tcW w:type="dxa" w:w="3312"/>
            <w:vAlign w:val="center"/>
          </w:tcPr>
          <w:p>
            <w:r>
              <w:t>TC-RFC</w:t>
            </w:r>
          </w:p>
        </w:tc>
        <w:tc>
          <w:tcPr>
            <w:tcW w:type="dxa" w:w="3312"/>
            <w:vAlign w:val="center"/>
          </w:tcPr>
          <w:p>
            <w:r>
              <w:t>Trust Context Request for Comments</w:t>
            </w:r>
          </w:p>
        </w:tc>
        <w:tc>
          <w:tcPr>
            <w:tcW w:type="dxa" w:w="3312"/>
            <w:vAlign w:val="center"/>
          </w:tcPr>
          <w:p>
            <w:r>
              <w:t>Open evolution process for specifications, profiles, and extensions</w:t>
            </w:r>
          </w:p>
        </w:tc>
      </w:tr>
    </w:tbl>
    <w:p/>
    <w:p>
      <w:pPr>
        <w:pStyle w:val="Heading1"/>
      </w:pPr>
      <w:r>
        <w:t>Project Nomenclature</w:t>
      </w:r>
    </w:p>
    <w:p>
      <w:r>
        <w:t>TCOP is the umbrella project and governance identity. The paper and proposal use the working title “Storm in a TCOP,” pairing a memorable name with a descriptive subtitle. The component names reflect a strict architectural separation: discovery locates publishers, exchange transports trust context, local resolution derives trust, the benchmark evaluates outcomes, and the framework provides a non-authoritative reference implementation.</w:t>
      </w:r>
    </w:p>
    <w:p>
      <w:pPr>
        <w:pStyle w:val="ListBullet"/>
      </w:pPr>
      <w:r>
        <w:t>TCA — Trust Context Architecture: the overall roles, layers, invariants, threat model, and lifecycle.</w:t>
      </w:r>
    </w:p>
    <w:p>
      <w:pPr>
        <w:pStyle w:val="ListBullet"/>
      </w:pPr>
      <w:r>
        <w:t>TCDP — Trust Context Discovery Protocol: discovery of publishers, endpoints, keys, capabilities, and authority manifests.</w:t>
      </w:r>
    </w:p>
    <w:p>
      <w:pPr>
        <w:pStyle w:val="ListBullet"/>
      </w:pPr>
      <w:r>
        <w:t>TCX — Trust Context Exchange: transport-neutral semantics for exchanging signed observations, evidence references, authority metadata, and related context.</w:t>
      </w:r>
    </w:p>
    <w:p>
      <w:pPr>
        <w:pStyle w:val="ListBullet"/>
      </w:pPr>
      <w:r>
        <w:t>TCRS — Trust Context Resolution Specification: requirements and interfaces for local reconciliation without mandating a universal scoring algorithm.</w:t>
      </w:r>
    </w:p>
    <w:p>
      <w:pPr>
        <w:pStyle w:val="ListBullet"/>
      </w:pPr>
      <w:r>
        <w:t>TCBench — Trust Context Benchmark: reproducible comparison of rogue-agent resilience, false alarms, detection, isolation, recovery, and overhead.</w:t>
      </w:r>
    </w:p>
    <w:p>
      <w:pPr>
        <w:pStyle w:val="ListBullet"/>
      </w:pPr>
      <w:r>
        <w:t>TCF — Trust Context Framework: the readable, replaceable reference implementation used to exercise the specifications.</w:t>
      </w:r>
    </w:p>
    <w:p>
      <w:pPr>
        <w:pStyle w:val="ListBullet"/>
      </w:pPr>
      <w:r>
        <w:t>TC-RFC — the open change and extension process for the TCOP specification family.</w:t>
      </w:r>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Research hypothesis</w:t>
      </w:r>
    </w:p>
    <w:p>
      <w:pPr/>
      <w:r>
        <w:t>A decentralized, context-aware runtime trust protocol that exchanges signed, scoped, expiring observations and reconciles federated trust contexts locally can reduce rogue-agent attack success, blast radius, and containment latency relative to policy-only, isolated-guardrail, and centralized-monitoring approaches, while maintaining acceptable false-positive rates and benign task utility even when some observers or protocol participants are compromised.</w:t>
      </w:r>
    </w:p>
    <w:p>
      <w:pPr>
        <w:pStyle w:val="Heading2"/>
      </w:pPr>
      <w:r>
        <w:t>1.3 Research Proposal Maturity and Falsifiability</w:t>
      </w:r>
    </w:p>
    <w:p>
      <w:r>
        <w:t>The project has advanced beyond an architectural metaphor into a falsifiable systems-and-security research proposal. It now identifies a specific interoperability gap, states a testable hypothesis, defines a protocol and reference architecture, establishes realistic comparison baselines, and specifies reproducible outcome measures. The work should be judged by whether independent implementations can reproduce its results and whether the proposed trust layer produces a favorable security-utility tradeoff under attack.</w:t>
      </w:r>
    </w:p>
    <w:p>
      <w:r>
        <w:t>A credible evaluation must be capable of disproving the central hypothesis. Negative findings, including attack classes for which TCX provides no meaningful benefit, observer-compromise thresholds at which it fails, and operating conditions that create unacceptable false containment, are first-class research outcomes rather than implementation defects to be hidden.</w:t>
      </w:r>
    </w:p>
    <w:p>
      <w:pPr>
        <w:pStyle w:val="Heading2"/>
      </w:pPr>
      <w:r>
        <w:t>1.4 The Missing Layer and Adjacent Technologies</w:t>
      </w:r>
    </w:p>
    <w:p>
      <w:r>
        <w:t>The proposal defines runtime trust context as a distinct distributed-systems concern. Existing technologies provide essential building blocks, but none alone standardizes the exchange of scoped runtime observations, reconciliation of federated trust hierarchies, and production of locally sovereign operating envelopes for autonomous actors.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120" w:type="dxa"/>
              <w:start w:w="120" w:type="dxa"/>
              <w:bottom w:w="120" w:type="dxa"/>
              <w:end w:w="120" w:type="dxa"/>
            </w:tcMar>
          </w:tcPr>
          <w:p>
            <w:pPr>
              <w:spacing w:after="0" w:line="240" w:lineRule="auto"/>
            </w:pPr>
            <w:r>
              <w:rPr>
                <w:b/>
                <w:sz w:val="18"/>
              </w:rPr>
              <w:t>Technology</w:t>
            </w:r>
          </w:p>
        </w:tc>
        <w:tc>
          <w:tcPr>
            <w:tcW w:type="dxa" w:w="2952"/>
            <w:shd w:fill="D9EAF7"/>
            <w:vAlign w:val="center"/>
            <w:tcMar>
              <w:top w:w="120" w:type="dxa"/>
              <w:start w:w="120" w:type="dxa"/>
              <w:bottom w:w="120" w:type="dxa"/>
              <w:end w:w="120" w:type="dxa"/>
            </w:tcMar>
          </w:tcPr>
          <w:p>
            <w:pPr>
              <w:spacing w:after="0" w:line="240" w:lineRule="auto"/>
            </w:pPr>
            <w:r>
              <w:rPr>
                <w:b/>
                <w:sz w:val="18"/>
              </w:rPr>
              <w:t>Primary contribution</w:t>
            </w:r>
          </w:p>
        </w:tc>
        <w:tc>
          <w:tcPr>
            <w:tcW w:type="dxa" w:w="4608"/>
            <w:shd w:fill="D9EAF7"/>
            <w:vAlign w:val="center"/>
            <w:tcMar>
              <w:top w:w="120" w:type="dxa"/>
              <w:start w:w="120" w:type="dxa"/>
              <w:bottom w:w="120" w:type="dxa"/>
              <w:end w:w="120" w:type="dxa"/>
            </w:tcMar>
          </w:tcPr>
          <w:p>
            <w:pPr>
              <w:spacing w:after="0" w:line="240" w:lineRule="auto"/>
            </w:pPr>
            <w:r>
              <w:rPr>
                <w:b/>
                <w:sz w:val="18"/>
              </w:rPr>
              <w:t>Gap relative to TCX</w:t>
            </w:r>
          </w:p>
        </w:tc>
      </w:tr>
      <w:tr>
        <w:tc>
          <w:tcPr>
            <w:tcW w:type="dxa" w:w="1800"/>
            <w:vAlign w:val="center"/>
            <w:tcMar>
              <w:top w:w="110" w:type="dxa"/>
              <w:start w:w="120" w:type="dxa"/>
              <w:bottom w:w="110" w:type="dxa"/>
              <w:end w:w="120" w:type="dxa"/>
            </w:tcMar>
          </w:tcPr>
          <w:p>
            <w:pPr>
              <w:spacing w:after="0" w:line="240" w:lineRule="auto"/>
            </w:pPr>
            <w:r>
              <w:rPr>
                <w:sz w:val="18"/>
              </w:rPr>
              <w:t>SPIFFE / workload identity</w:t>
            </w:r>
          </w:p>
        </w:tc>
        <w:tc>
          <w:tcPr>
            <w:tcW w:type="dxa" w:w="2952"/>
            <w:vAlign w:val="center"/>
            <w:tcMar>
              <w:top w:w="110" w:type="dxa"/>
              <w:start w:w="120" w:type="dxa"/>
              <w:bottom w:w="110" w:type="dxa"/>
              <w:end w:w="120" w:type="dxa"/>
            </w:tcMar>
          </w:tcPr>
          <w:p>
            <w:pPr>
              <w:spacing w:after="0" w:line="240" w:lineRule="auto"/>
            </w:pPr>
            <w:r>
              <w:rPr>
                <w:sz w:val="18"/>
              </w:rPr>
              <w:t>Cryptographic workload identity and trust domains</w:t>
            </w:r>
          </w:p>
        </w:tc>
        <w:tc>
          <w:tcPr>
            <w:tcW w:type="dxa" w:w="4608"/>
            <w:vAlign w:val="center"/>
            <w:tcMar>
              <w:top w:w="110" w:type="dxa"/>
              <w:start w:w="120" w:type="dxa"/>
              <w:bottom w:w="110" w:type="dxa"/>
              <w:end w:w="120" w:type="dxa"/>
            </w:tcMar>
          </w:tcPr>
          <w:p>
            <w:pPr>
              <w:spacing w:after="0" w:line="240" w:lineRule="auto"/>
            </w:pPr>
            <w:r>
              <w:rPr>
                <w:sz w:val="18"/>
              </w:rPr>
              <w:t>Does not reconcile continuous behavioral, memory, tool-use, or runtime-integrity context.</w:t>
            </w:r>
          </w:p>
        </w:tc>
      </w:tr>
      <w:tr>
        <w:tc>
          <w:tcPr>
            <w:tcW w:type="dxa" w:w="1800"/>
            <w:vAlign w:val="center"/>
            <w:tcMar>
              <w:top w:w="110" w:type="dxa"/>
              <w:start w:w="120" w:type="dxa"/>
              <w:bottom w:w="110" w:type="dxa"/>
              <w:end w:w="120" w:type="dxa"/>
            </w:tcMar>
          </w:tcPr>
          <w:p>
            <w:pPr>
              <w:spacing w:after="0" w:line="240" w:lineRule="auto"/>
            </w:pPr>
            <w:r>
              <w:rPr>
                <w:sz w:val="18"/>
              </w:rPr>
              <w:t>OAuth / OIDC</w:t>
            </w:r>
          </w:p>
        </w:tc>
        <w:tc>
          <w:tcPr>
            <w:tcW w:type="dxa" w:w="2952"/>
            <w:vAlign w:val="center"/>
            <w:tcMar>
              <w:top w:w="110" w:type="dxa"/>
              <w:start w:w="120" w:type="dxa"/>
              <w:bottom w:w="110" w:type="dxa"/>
              <w:end w:w="120" w:type="dxa"/>
            </w:tcMar>
          </w:tcPr>
          <w:p>
            <w:pPr>
              <w:spacing w:after="0" w:line="240" w:lineRule="auto"/>
            </w:pPr>
            <w:r>
              <w:rPr>
                <w:sz w:val="18"/>
              </w:rPr>
              <w:t>Identity, authentication, consent, and delegated access</w:t>
            </w:r>
          </w:p>
        </w:tc>
        <w:tc>
          <w:tcPr>
            <w:tcW w:type="dxa" w:w="4608"/>
            <w:vAlign w:val="center"/>
            <w:tcMar>
              <w:top w:w="110" w:type="dxa"/>
              <w:start w:w="120" w:type="dxa"/>
              <w:bottom w:w="110" w:type="dxa"/>
              <w:end w:w="120" w:type="dxa"/>
            </w:tcMar>
          </w:tcPr>
          <w:p>
            <w:pPr>
              <w:spacing w:after="0" w:line="240" w:lineRule="auto"/>
            </w:pPr>
            <w:r>
              <w:rPr>
                <w:sz w:val="18"/>
              </w:rPr>
              <w:t>Does not determine whether an authenticated autonomous actor should remain trusted during execution.</w:t>
            </w:r>
          </w:p>
        </w:tc>
      </w:tr>
      <w:tr>
        <w:tc>
          <w:tcPr>
            <w:tcW w:type="dxa" w:w="1800"/>
            <w:vAlign w:val="center"/>
            <w:tcMar>
              <w:top w:w="110" w:type="dxa"/>
              <w:start w:w="120" w:type="dxa"/>
              <w:bottom w:w="110" w:type="dxa"/>
              <w:end w:w="120" w:type="dxa"/>
            </w:tcMar>
          </w:tcPr>
          <w:p>
            <w:pPr>
              <w:spacing w:after="0" w:line="240" w:lineRule="auto"/>
            </w:pPr>
            <w:r>
              <w:rPr>
                <w:sz w:val="18"/>
              </w:rPr>
              <w:t>Cedar / OPA / policy engines</w:t>
            </w:r>
          </w:p>
        </w:tc>
        <w:tc>
          <w:tcPr>
            <w:tcW w:type="dxa" w:w="2952"/>
            <w:vAlign w:val="center"/>
            <w:tcMar>
              <w:top w:w="110" w:type="dxa"/>
              <w:start w:w="120" w:type="dxa"/>
              <w:bottom w:w="110" w:type="dxa"/>
              <w:end w:w="120" w:type="dxa"/>
            </w:tcMar>
          </w:tcPr>
          <w:p>
            <w:pPr>
              <w:spacing w:after="0" w:line="240" w:lineRule="auto"/>
            </w:pPr>
            <w:r>
              <w:rPr>
                <w:sz w:val="18"/>
              </w:rPr>
              <w:t>Policy evaluation and authorization decisions</w:t>
            </w:r>
          </w:p>
        </w:tc>
        <w:tc>
          <w:tcPr>
            <w:tcW w:type="dxa" w:w="4608"/>
            <w:vAlign w:val="center"/>
            <w:tcMar>
              <w:top w:w="110" w:type="dxa"/>
              <w:start w:w="120" w:type="dxa"/>
              <w:bottom w:w="110" w:type="dxa"/>
              <w:end w:w="120" w:type="dxa"/>
            </w:tcMar>
          </w:tcPr>
          <w:p>
            <w:pPr>
              <w:spacing w:after="0" w:line="240" w:lineRule="auto"/>
            </w:pPr>
            <w:r>
              <w:rPr>
                <w:sz w:val="18"/>
              </w:rPr>
              <w:t>Does not exchange federated runtime observations or reconcile multiple external trust hierarchies.</w:t>
            </w:r>
          </w:p>
        </w:tc>
      </w:tr>
      <w:tr>
        <w:tc>
          <w:tcPr>
            <w:tcW w:type="dxa" w:w="1800"/>
            <w:vAlign w:val="center"/>
            <w:tcMar>
              <w:top w:w="110" w:type="dxa"/>
              <w:start w:w="120" w:type="dxa"/>
              <w:bottom w:w="110" w:type="dxa"/>
              <w:end w:w="120" w:type="dxa"/>
            </w:tcMar>
          </w:tcPr>
          <w:p>
            <w:pPr>
              <w:spacing w:after="0" w:line="240" w:lineRule="auto"/>
            </w:pPr>
            <w:r>
              <w:rPr>
                <w:sz w:val="18"/>
              </w:rPr>
              <w:t>OpenTelemetry</w:t>
            </w:r>
          </w:p>
        </w:tc>
        <w:tc>
          <w:tcPr>
            <w:tcW w:type="dxa" w:w="2952"/>
            <w:vAlign w:val="center"/>
            <w:tcMar>
              <w:top w:w="110" w:type="dxa"/>
              <w:start w:w="120" w:type="dxa"/>
              <w:bottom w:w="110" w:type="dxa"/>
              <w:end w:w="120" w:type="dxa"/>
            </w:tcMar>
          </w:tcPr>
          <w:p>
            <w:pPr>
              <w:spacing w:after="0" w:line="240" w:lineRule="auto"/>
            </w:pPr>
            <w:r>
              <w:rPr>
                <w:sz w:val="18"/>
              </w:rPr>
              <w:t>Portable traces, metrics, logs, and telemetry semantics</w:t>
            </w:r>
          </w:p>
        </w:tc>
        <w:tc>
          <w:tcPr>
            <w:tcW w:type="dxa" w:w="4608"/>
            <w:vAlign w:val="center"/>
            <w:tcMar>
              <w:top w:w="110" w:type="dxa"/>
              <w:start w:w="120" w:type="dxa"/>
              <w:bottom w:w="110" w:type="dxa"/>
              <w:end w:w="120" w:type="dxa"/>
            </w:tcMar>
          </w:tcPr>
          <w:p>
            <w:pPr>
              <w:spacing w:after="0" w:line="240" w:lineRule="auto"/>
            </w:pPr>
            <w:r>
              <w:rPr>
                <w:sz w:val="18"/>
              </w:rPr>
              <w:t>Carries observability data but does not define trust authority, trust-context semantics, or containment outcomes.</w:t>
            </w:r>
          </w:p>
        </w:tc>
      </w:tr>
      <w:tr>
        <w:tc>
          <w:tcPr>
            <w:tcW w:type="dxa" w:w="1800"/>
            <w:vAlign w:val="center"/>
            <w:tcMar>
              <w:top w:w="110" w:type="dxa"/>
              <w:start w:w="120" w:type="dxa"/>
              <w:bottom w:w="110" w:type="dxa"/>
              <w:end w:w="120" w:type="dxa"/>
            </w:tcMar>
          </w:tcPr>
          <w:p>
            <w:pPr>
              <w:spacing w:after="0" w:line="240" w:lineRule="auto"/>
            </w:pPr>
            <w:r>
              <w:rPr>
                <w:sz w:val="18"/>
              </w:rPr>
              <w:t>SIEM / SOAR</w:t>
            </w:r>
          </w:p>
        </w:tc>
        <w:tc>
          <w:tcPr>
            <w:tcW w:type="dxa" w:w="2952"/>
            <w:vAlign w:val="center"/>
            <w:tcMar>
              <w:top w:w="110" w:type="dxa"/>
              <w:start w:w="120" w:type="dxa"/>
              <w:bottom w:w="110" w:type="dxa"/>
              <w:end w:w="120" w:type="dxa"/>
            </w:tcMar>
          </w:tcPr>
          <w:p>
            <w:pPr>
              <w:spacing w:after="0" w:line="240" w:lineRule="auto"/>
            </w:pPr>
            <w:r>
              <w:rPr>
                <w:sz w:val="18"/>
              </w:rPr>
              <w:t>Centralized security analytics, correlation, and response workflows</w:t>
            </w:r>
          </w:p>
        </w:tc>
        <w:tc>
          <w:tcPr>
            <w:tcW w:type="dxa" w:w="4608"/>
            <w:vAlign w:val="center"/>
            <w:tcMar>
              <w:top w:w="110" w:type="dxa"/>
              <w:start w:w="120" w:type="dxa"/>
              <w:bottom w:w="110" w:type="dxa"/>
              <w:end w:w="120" w:type="dxa"/>
            </w:tcMar>
          </w:tcPr>
          <w:p>
            <w:pPr>
              <w:spacing w:after="0" w:line="240" w:lineRule="auto"/>
            </w:pPr>
            <w:r>
              <w:rPr>
                <w:sz w:val="18"/>
              </w:rPr>
              <w:t>Usually assumes centralized visibility and control rather than decentralized local trust resolution.</w:t>
            </w:r>
          </w:p>
        </w:tc>
      </w:tr>
      <w:tr>
        <w:tc>
          <w:tcPr>
            <w:tcW w:type="dxa" w:w="1800"/>
            <w:vAlign w:val="center"/>
            <w:tcMar>
              <w:top w:w="110" w:type="dxa"/>
              <w:start w:w="120" w:type="dxa"/>
              <w:bottom w:w="110" w:type="dxa"/>
              <w:end w:w="120" w:type="dxa"/>
            </w:tcMar>
          </w:tcPr>
          <w:p>
            <w:pPr>
              <w:spacing w:after="0" w:line="240" w:lineRule="auto"/>
            </w:pPr>
            <w:r>
              <w:rPr>
                <w:sz w:val="18"/>
              </w:rPr>
              <w:t>TCX / TCA</w:t>
            </w:r>
          </w:p>
        </w:tc>
        <w:tc>
          <w:tcPr>
            <w:tcW w:type="dxa" w:w="2952"/>
            <w:vAlign w:val="center"/>
            <w:tcMar>
              <w:top w:w="110" w:type="dxa"/>
              <w:start w:w="120" w:type="dxa"/>
              <w:bottom w:w="110" w:type="dxa"/>
              <w:end w:w="120" w:type="dxa"/>
            </w:tcMar>
          </w:tcPr>
          <w:p>
            <w:pPr>
              <w:spacing w:after="0" w:line="240" w:lineRule="auto"/>
            </w:pPr>
            <w:r>
              <w:rPr>
                <w:sz w:val="18"/>
              </w:rPr>
              <w:t>Federated runtime trust context, authority and hierarchy metadata, local reconciliation, and bounded operating envelopes</w:t>
            </w:r>
          </w:p>
        </w:tc>
        <w:tc>
          <w:tcPr>
            <w:tcW w:type="dxa" w:w="4608"/>
            <w:vAlign w:val="center"/>
            <w:tcMar>
              <w:top w:w="110" w:type="dxa"/>
              <w:start w:w="120" w:type="dxa"/>
              <w:bottom w:w="110" w:type="dxa"/>
              <w:end w:w="120" w:type="dxa"/>
            </w:tcMar>
          </w:tcPr>
          <w:p>
            <w:pPr>
              <w:spacing w:after="0" w:line="240" w:lineRule="auto"/>
            </w:pPr>
            <w:r>
              <w:rPr>
                <w:sz w:val="18"/>
              </w:rPr>
              <w:t>Does not replace identity, authorization, policy, telemetry, or enforcement systems; it composes with them.</w:t>
            </w:r>
          </w:p>
        </w:tc>
      </w:tr>
    </w:tbl>
    <w:p>
      <w:r>
        <w:t>The defining principle is: trust is locally resolved from federated, hierarchical trust contexts. No remote participant supplies a universally authoritative answer to whether an agent is trustworthy. Participants supply observations, evidence, scope, authority, hierarchy, and provenance; each receiving system interprets those inputs against its own policies, history, risk model, and relationship to the target.</w:t>
      </w:r>
    </w:p>
    <w:p>
      <w:pPr>
        <w:pStyle w:val="Heading2"/>
      </w:pPr>
      <w:r>
        <w:t>1.5 A New Distributed-Systems Abstraction</w:t>
      </w:r>
    </w:p>
    <w:p>
      <w:r>
        <w:t>The longer-term research claim is broader than AI security. Distributed systems already standardize identity, naming and discovery, routing, telemetry, authentication, and authorization. They lack a generally interoperable mechanism for sharing and locally reconciling runtime trust context. Autonomous agents are the initial application profile because their long-lived, delegated, tool-using behavior makes this gap especially visible, but the abstraction may apply to autonomous services, robots, adaptive controllers, and other software principals.</w:t>
      </w:r>
    </w:p>
    <w:p>
      <w:r>
        <w:t>The work should therefore be evaluated as a candidate new layer in the distributed-systems stack, not merely as another detection product. Its justification depends on demonstrating that this layer yields security and resilience benefits large enough to outweigh protocol complexity, latency, privacy exposure, and operational cost.</w:t>
      </w:r>
    </w:p>
    <w:p>
      <w:pPr>
        <w:pStyle w:val="Heading2"/>
      </w:pPr>
      <w:r>
        <w:t>1.6 The Cross-Domain Agentic Internet</w:t>
      </w:r>
    </w:p>
    <w:p>
      <w:pPr/>
      <w:r>
        <w:t>The future Internet is likely to become increasingly cross-domain and agentic. Organizations will rely not only on agents they build and operate themselves, but also on autonomous agents supplied by vendors, customers, marketplaces, financial institutions, logistics providers, professional-services firms, public agencies, and other external trust domains. These agents will negotiate, delegate, exchange data, invoke tools, and make consequential requests across administrative and organizational boundaries.</w:t>
      </w:r>
    </w:p>
    <w:p>
      <w:pPr/>
      <w:r>
        <w:t>In that environment, preventing every compromise is unrealistic. The primary ecosystem-security objective becomes limiting how far a compromised, manipulated, or misaligned agent can propagate harm before independent domains narrow its operating envelope. Cross-domain blast radius is therefore a first-order security property rather than a secondary incident metric.</w:t>
      </w:r>
    </w:p>
    <w:p>
      <w:pPr/>
      <w:r>
        <w:t>TCOP is designed for this boundary condition. A domain may observe only one fragment of an agent’s behavior, while other domains observe different fragments. Authenticated, scoped, expiring trust context allows those domains to share evidence without surrendering control of their own decisions. The intended result is not universal agreement about whether an agent is trustworthy; it is earlier, locally appropriate containment that prevents one compromised participant from becoming an ecosystem-wide failure.</w:t>
      </w:r>
    </w:p>
    <w:p>
      <w:pPr/>
      <w:r>
        <w:t>This framing positions TCOP as a candidate Internet-scale containment architecture for autonomous systems. Its strongest value proposition is not marginally better detection inside one enterprise, but measurable reduction of compromise propagation among organizations that must collaborate with agents built, governed, and operated beyond their borders.</w:t>
      </w:r>
    </w:p>
    <w:p>
      <w:pPr>
        <w:pStyle w:val="Heading2"/>
      </w:pPr>
      <w:r>
        <w:t>1.7 Inter-Domain Applicability Boundary</w:t>
      </w:r>
    </w:p>
    <w:p>
      <w:pPr/>
      <w:r>
        <w:t>TCOP is primarily an inter-domain protocol, not an intra-domain security requirement. It is intended for environments in which autonomous agents, their operators, their evidence sources, and the systems they affect span independent administrative, organizational, cloud, vendor, or jurisdictional trust boundaries.</w:t>
      </w:r>
    </w:p>
    <w:p>
      <w:pPr/>
      <w:r>
        <w:t>An organization whose agent interactions remain entirely inside one administrative domain may not need TCOP. In that setting, a shared identity plane, policy engine, telemetry fabric, centralized monitor, and direct enforcement path can often provide simpler, faster, and more complete control. Deploying federated trust-context infrastructure where no meaningful federation exists would add complexity without creating the cross-domain visibility or containment benefit that motivates the project.</w:t>
      </w:r>
    </w:p>
    <w:p>
      <w:pPr/>
      <w:r>
        <w:t>The networking analogy is BGP. A private network does not ordinarily require inter-domain routing merely to communicate internally; simpler intra-domain mechanisms are sufficient. BGP becomes necessary when independently governed networks must exchange reachability while retaining local routing policy. Likewise, TCOP becomes valuable when independently governed agent ecosystems must exchange runtime trust context while retaining local authority over capability, containment, and recovery decisions.</w:t>
      </w:r>
    </w:p>
    <w:p>
      <w:pPr/>
      <w:r>
        <w:t>TCOP therefore does not seek universal deployment. Its target adopters are organizations that consume, expose, delegate to, or depend upon autonomous agents beyond their own control boundary. The need is determined by the presence of cross-domain autonomous interaction, not by enterprise size alone.</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ListBullet"/>
      </w:pPr>
      <w:r>
        <w:t>Provide an inter-domain trust-context layer for autonomous interactions that cross independent administrative boundaries.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ListBullet"/>
      </w:pPr>
      <w:r>
        <w:t>Require TCOP for agents and services that remain wholly inside one administrative trust domain and are adequately governed by existing local controls.</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r>
              <w:t>TCOP — Trust Context Project</w:t>
              <w:br/>
              <w:t>|-- TCA       Trust Context Architecture</w:t>
              <w:br/>
              <w:t>|-- TCDP      Discovery protocol</w:t>
              <w:br/>
              <w:t>|-- TCX       Trust context exchange</w:t>
              <w:br/>
              <w:t>|-- TCRS      Local resolution specification</w:t>
              <w:br/>
              <w:t>|-- TCBench   Benchmark and attack corpus</w:t>
              <w:br/>
              <w:t>|-- TCF       Reference implementation</w:t>
              <w:br/>
              <w:t>`-- TC-RFC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TCX</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TCA</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TCBench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TCF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TC-RFC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TCX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TCA and TCRS: Trust Context Architecture and Local Resolution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Federated and Hierarchical Trust-Context Resolution</w:t>
      </w:r>
    </w:p>
    <w:p>
      <w:pPr/>
      <w:r>
        <w:t>No remote system may directly assign the final trust state of a target. Remote systems publish signed observations, attestations, authority relationships, scope declarations, hierarchy metadata, and evidence references. The receiving system resolves these inputs within its own local context before deciding whether, and under what conditions, to trust the target.</w:t>
      </w:r>
    </w:p>
    <w:p>
      <w:pPr/>
      <w:r>
        <w:t>Normative principle: trust is locally resolved from federated, hierarchical trust contexts.</w:t>
      </w:r>
    </w:p>
    <w:p>
      <w:pPr/>
      <w:r>
        <w:t>A trust context may include:</w:t>
      </w:r>
    </w:p>
    <w:p>
      <w:pPr>
        <w:pStyle w:val="ListBullet"/>
      </w:pPr>
      <w:r>
        <w:t>Target and observer identity, trust domain, and administrative domain.</w:t>
      </w:r>
    </w:p>
    <w:p>
      <w:pPr>
        <w:pStyle w:val="ListBullet"/>
      </w:pPr>
      <w:r>
        <w:t>Observer authority, delegated authority, observation class, and permitted scope.</w:t>
      </w:r>
    </w:p>
    <w:p>
      <w:pPr>
        <w:pStyle w:val="ListBullet"/>
      </w:pPr>
      <w:r>
        <w:t>Organizational, runtime, namespace, capability, resource, and data hierarchies.</w:t>
      </w:r>
    </w:p>
    <w:p>
      <w:pPr>
        <w:pStyle w:val="ListBullet"/>
      </w:pPr>
      <w:r>
        <w:t>Evidence provenance, confidence, freshness, expiration, and attestation state.</w:t>
      </w:r>
    </w:p>
    <w:p>
      <w:pPr>
        <w:pStyle w:val="ListBullet"/>
      </w:pPr>
      <w:r>
        <w:t>Local relationship to the target, historical behavior, policy constraints, and risk tolerance.</w:t>
      </w:r>
    </w:p>
    <w:p>
      <w:pPr/>
      <w:r>
        <w:t>A signal has no universal meaning outside its context. For example, a tool gateway may be authoritative for tool invocation behavior but not for memory integrity; a cluster administrator may be authoritative for infrastructure health but not for semantic output correctness.</w:t>
      </w:r>
    </w:p>
    <w:p>
      <w:pPr/>
      <w:r>
        <w:t>The local resolver must reconcile multiple overlapping hierarchies, including:</w:t>
      </w:r>
    </w:p>
    <w:p>
      <w:pPr>
        <w:pStyle w:val="ListBullet"/>
      </w:pPr>
      <w:r>
        <w:t>Administrative: organization → business unit → team → application → agent.</w:t>
      </w:r>
    </w:p>
    <w:p>
      <w:pPr>
        <w:pStyle w:val="ListBullet"/>
      </w:pPr>
      <w:r>
        <w:t>Runtime: cloud account → region → cluster → namespace → workload → process.</w:t>
      </w:r>
    </w:p>
    <w:p>
      <w:pPr>
        <w:pStyle w:val="ListBullet"/>
      </w:pPr>
      <w:r>
        <w:t>Capability: agent → capability → operation → resource.</w:t>
      </w:r>
    </w:p>
    <w:p>
      <w:pPr>
        <w:pStyle w:val="ListBullet"/>
      </w:pPr>
      <w:r>
        <w:t>Data: organization → workspace → repository → object → memory item.</w:t>
      </w:r>
    </w:p>
    <w:p>
      <w:pPr>
        <w:pStyle w:val="ListBullet"/>
      </w:pPr>
      <w:r>
        <w:t>Authority: trust domain → delegated authority → observer class → observer.</w:t>
      </w:r>
    </w:p>
    <w:p>
      <w:pPr/>
      <w:r>
        <w:t>Required local resolution sequence:</w:t>
      </w:r>
    </w:p>
    <w:p>
      <w:pPr>
        <w:pStyle w:val="ListNumber"/>
      </w:pPr>
      <w:r>
        <w:t>Resolve the target identity and relevant local namespace.</w:t>
      </w:r>
    </w:p>
    <w:p>
      <w:pPr>
        <w:pStyle w:val="ListNumber"/>
      </w:pPr>
      <w:r>
        <w:t>Discover applicable trust authorities, observers, and supported observation classes.</w:t>
      </w:r>
    </w:p>
    <w:p>
      <w:pPr>
        <w:pStyle w:val="ListNumber"/>
      </w:pPr>
      <w:r>
        <w:t>Verify signatures, validity intervals, freshness, sequence state, and evidence references.</w:t>
      </w:r>
    </w:p>
    <w:p>
      <w:pPr>
        <w:pStyle w:val="ListNumber"/>
      </w:pPr>
      <w:r>
        <w:t>Determine the scope in which each source is authoritative.</w:t>
      </w:r>
    </w:p>
    <w:p>
      <w:pPr>
        <w:pStyle w:val="ListNumber"/>
      </w:pPr>
      <w:r>
        <w:t>Resolve delegation chains and map remote hierarchies and namespaces into the local model.</w:t>
      </w:r>
    </w:p>
    <w:p>
      <w:pPr>
        <w:pStyle w:val="ListNumber"/>
      </w:pPr>
      <w:r>
        <w:t>Identify conflicting, overlapping, correlated, missing, or incomplete observations.</w:t>
      </w:r>
    </w:p>
    <w:p>
      <w:pPr>
        <w:pStyle w:val="ListNumber"/>
      </w:pPr>
      <w:r>
        <w:t>Apply local policy, historical reliability, risk tolerance, and capability-specific constraints.</w:t>
      </w:r>
    </w:p>
    <w:p>
      <w:pPr>
        <w:pStyle w:val="ListNumber"/>
      </w:pPr>
      <w:r>
        <w:t>Produce a multidimensional local trust decision and a bounded operating envelope.</w:t>
      </w:r>
    </w:p>
    <w:p>
      <w:pPr/>
      <w:r>
        <w:t>Confidence alone is insufficient. Effective relevance is a local function of observation confidence, source authority, scope relevance, evidence quality, freshness, independence, and the receiver’s relationship to the target. TCA and TCX define the necessary inputs but do not standardize the calculation.</w:t>
      </w:r>
    </w:p>
    <w:p>
      <w:pPr/>
      <w:r>
        <w:t>Trust should remain multidimensional. A target may be trusted for public search, constrained for email, denied for financial transactions, and quarantined from shared-memory writes at the same time. Implementations should avoid prematurely collapsing these dimensions into one universal score.</w:t>
      </w:r>
    </w:p>
    <w:p>
      <w:pPr/>
      <w:r>
        <w:t>The output of resolution is a local operating envelope that may specify permitted and denied capabilities, resource boundaries, approval requirements, monitoring, challenge requirements, rate limits, session duration, containment actions, and re-evaluation intervals.</w:t>
      </w:r>
    </w:p>
    <w:p>
      <w:pPr/>
      <w:r>
        <w:t>Local sovereignty is invariant: external trust contexts inform the decision but never replace the receiving system’s interpretation, risk model, permissions, containment choices, or final trust state.</w:t>
      </w:r>
    </w:p>
    <w:p>
      <w:pPr>
        <w:pStyle w:val="Heading2"/>
      </w:pPr>
      <w:r>
        <w:t>4.6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4.7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4.8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2"/>
      </w:pPr>
      <w:r>
        <w:t>4.9 Distributed-Systems Design Principles</w:t>
      </w:r>
    </w:p>
    <w:p>
      <w:pPr/>
      <w:r>
        <w:t>TCOP adapts proven distributed-systems mechanisms while preserving a crucial distinction: it standardizes the exchange of trust context, not agreement on trust conclusions. The following principles are normative architectural guidance.</w:t>
      </w:r>
    </w:p>
    <w:p>
      <w:pPr>
        <w:ind w:left="317" w:hanging="317"/>
      </w:pPr>
      <w:r>
        <w:rPr>
          <w:b/>
        </w:rPr>
        <w:t xml:space="preserve">1. Local sovereignty over trust decisions. </w:t>
      </w:r>
      <w:r>
        <w:t>Every receiving domain retains final authority over its own trust state and operating envelope.</w:t>
      </w:r>
    </w:p>
    <w:p>
      <w:pPr>
        <w:ind w:left="317" w:hanging="317"/>
      </w:pPr>
      <w:r>
        <w:rPr>
          <w:b/>
        </w:rPr>
        <w:t xml:space="preserve">2. Exchange context, not conclusions. </w:t>
      </w:r>
      <w:r>
        <w:t>TCX carries observations, evidence, provenance, authority, scope, confidence, and freshness; it does not carry a universally binding trust score.</w:t>
      </w:r>
    </w:p>
    <w:p>
      <w:pPr>
        <w:ind w:left="317" w:hanging="317"/>
      </w:pPr>
      <w:r>
        <w:rPr>
          <w:b/>
        </w:rPr>
        <w:t xml:space="preserve">3. Discovery precedes trust evaluation. </w:t>
      </w:r>
      <w:r>
        <w:t>TCDP identifies publishers and their asserted authority before their context is considered.</w:t>
      </w:r>
    </w:p>
    <w:p>
      <w:pPr>
        <w:ind w:left="317" w:hanging="317"/>
      </w:pPr>
      <w:r>
        <w:rPr>
          <w:b/>
        </w:rPr>
        <w:t xml:space="preserve">4. Authority is contextual. </w:t>
      </w:r>
      <w:r>
        <w:t>An observer may be authoritative for one subject, capability, resource, hierarchy, or time window and irrelevant outside it.</w:t>
      </w:r>
    </w:p>
    <w:p>
      <w:pPr>
        <w:ind w:left="317" w:hanging="317"/>
      </w:pPr>
      <w:r>
        <w:rPr>
          <w:b/>
        </w:rPr>
        <w:t xml:space="preserve">5. Freshness is mandatory. </w:t>
      </w:r>
      <w:r>
        <w:t>Trust context requires timestamps, validity windows, expiration, withdrawal, and supersession semantics.</w:t>
      </w:r>
    </w:p>
    <w:p>
      <w:pPr>
        <w:ind w:left="317" w:hanging="317"/>
      </w:pPr>
      <w:r>
        <w:rPr>
          <w:b/>
        </w:rPr>
        <w:t xml:space="preserve">6. Corrections are explicit. </w:t>
      </w:r>
      <w:r>
        <w:t>Published observations are treated as immutable records; mistakes and changed conditions are represented through withdrawals or superseding records.</w:t>
      </w:r>
    </w:p>
    <w:p>
      <w:pPr>
        <w:ind w:left="317" w:hanging="317"/>
      </w:pPr>
      <w:r>
        <w:rPr>
          <w:b/>
        </w:rPr>
        <w:t xml:space="preserve">7. Multiple valid viewpoints may coexist. </w:t>
      </w:r>
      <w:r>
        <w:t>Different domains may reach different conclusions from the same evidence without violating the protocol.</w:t>
      </w:r>
    </w:p>
    <w:p>
      <w:pPr>
        <w:ind w:left="317" w:hanging="317"/>
      </w:pPr>
      <w:r>
        <w:rPr>
          <w:b/>
        </w:rPr>
        <w:t xml:space="preserve">8. Trust convergence is neither expected nor required. </w:t>
      </w:r>
      <w:r>
        <w:t>TCOP seeks interoperable exchange and locally coherent decisions, not a universal trust table.</w:t>
      </w:r>
    </w:p>
    <w:p>
      <w:pPr>
        <w:ind w:left="317" w:hanging="317"/>
      </w:pPr>
      <w:r>
        <w:rPr>
          <w:b/>
        </w:rPr>
        <w:t xml:space="preserve">9. Resolution algorithms remain pluggable. </w:t>
      </w:r>
      <w:r>
        <w:t>TCRS defines required inputs, outputs, and safety properties without mandating one scoring or machine-learning algorithm.</w:t>
      </w:r>
    </w:p>
    <w:p>
      <w:pPr>
        <w:ind w:left="317" w:hanging="317"/>
      </w:pPr>
      <w:r>
        <w:rPr>
          <w:b/>
        </w:rPr>
        <w:t xml:space="preserve">10. Consistency of exchange does not imply consistency of conclusions. </w:t>
      </w:r>
      <w:r>
        <w:t>Consensus protocols are not the default abstraction for runtime trust context.</w:t>
      </w:r>
    </w:p>
    <w:p>
      <w:pPr/>
      <w:r>
        <w:t>11. Inter-domain need determines applicability. TCOP is warranted when autonomous interactions cross independent trust boundaries; it is not a mandatory replacement for simpler intra-domain identity, policy, telemetry, and enforcement mechanisms.</w:t>
      </w:r>
    </w:p>
    <w:p>
      <w:pPr>
        <w:pStyle w:val="Heading1"/>
      </w:pPr>
      <w:r>
        <w:t>5. TCX and TCDP: Trust Context Exchange and Discovery Protocols</w:t>
      </w:r>
    </w:p>
    <w:p>
      <w:pPr>
        <w:pStyle w:val="Heading2"/>
      </w:pPr>
      <w:r>
        <w:t>5.1 Protocol purpose</w:t>
      </w:r>
    </w:p>
    <w:p>
      <w:r>
        <w:t>TCX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Trust-Context, Authority, and Hierarchy Metadata</w:t>
      </w:r>
    </w:p>
    <w:p>
      <w:pPr/>
      <w:r>
        <w:t>TCX messages must carry enough context for independent receivers to interpret observations without accepting a remote verdict. Profiles may make additional fields mandatory, but the core model must support the following semantic elements:</w:t>
      </w:r>
    </w:p>
    <w:p>
      <w:pPr>
        <w:pStyle w:val="ListBullet"/>
      </w:pPr>
      <w:r>
        <w:t>Subject identity and subject namespace.</w:t>
      </w:r>
    </w:p>
    <w:p>
      <w:pPr>
        <w:pStyle w:val="ListBullet"/>
      </w:pPr>
      <w:r>
        <w:t>Observer identity, trust domain, administrative domain, and observer class.</w:t>
      </w:r>
    </w:p>
    <w:p>
      <w:pPr>
        <w:pStyle w:val="ListBullet"/>
      </w:pPr>
      <w:r>
        <w:t>Declared authority scope and delegated-authority chain.</w:t>
      </w:r>
    </w:p>
    <w:p>
      <w:pPr>
        <w:pStyle w:val="ListBullet"/>
      </w:pPr>
      <w:r>
        <w:t>Observation scope, capability, operation, resource, environment, and sensitivity.</w:t>
      </w:r>
    </w:p>
    <w:p>
      <w:pPr>
        <w:pStyle w:val="ListBullet"/>
      </w:pPr>
      <w:r>
        <w:t>Hierarchy path or references sufficient to place the subject and observer in relevant domains.</w:t>
      </w:r>
    </w:p>
    <w:p>
      <w:pPr>
        <w:pStyle w:val="ListBullet"/>
      </w:pPr>
      <w:r>
        <w:t>Namespace identifiers and optional signed namespace-mapping records.</w:t>
      </w:r>
    </w:p>
    <w:p>
      <w:pPr>
        <w:pStyle w:val="ListBullet"/>
      </w:pPr>
      <w:r>
        <w:t>Evidence provenance, confidence, severity, issuance time, receipt time, expiration, and sequence state.</w:t>
      </w:r>
    </w:p>
    <w:p>
      <w:pPr>
        <w:pStyle w:val="ListBullet"/>
      </w:pPr>
      <w:r>
        <w:t>Correlation metadata sufficient to detect replicated, dependent, or colluding sources.</w:t>
      </w:r>
    </w:p>
    <w:p>
      <w:pPr>
        <w:pStyle w:val="ListBullet"/>
      </w:pPr>
      <w:r>
        <w:t>Attestation references, profile identifier, protocol version, and verification key identifier.</w:t>
      </w:r>
    </w:p>
    <w:p>
      <w:pPr/>
      <w:r>
        <w:t>Authority metadata is a claim to be verified, not an intrinsic privilege. A receiver must validate the authority chain, scope, and local mapping before an observation can influence a decision.</w:t>
      </w:r>
    </w:p>
    <w:p>
      <w:pPr/>
      <w:r>
        <w:t>TCX may transport signed trust-context manifests and delegation records, but it must not transport a universal final trust score as protocol truth. Remote assertions and recommendations must remain distinguishable from direct observations and local decisions.</w:t>
      </w:r>
    </w:p>
    <w:p>
      <w:pPr>
        <w:pStyle w:val="Heading2"/>
      </w:pPr>
      <w:r>
        <w:t>5.8 TCDP Discovery Semantics</w:t>
      </w:r>
    </w:p>
    <w:p>
      <w:pPr/>
      <w:r>
        <w:t>TCDP discovers trust-context publishers and their verifiable metadata, including endpoints, verification keys, supported TCX versions and bindings, observer classes, authority manifests, and TTLs. Discovery is separable from exchange so DNS, service registries, Kubernetes, SPIFFE, static configuration, or future mechanisms can be used without changing TCX semantics. TCDP discovery data is not itself a trust verdict.</w:t>
      </w:r>
    </w:p>
    <w:p>
      <w:pPr>
        <w:pStyle w:val="Heading2"/>
      </w:pPr>
      <w:r>
        <w:t>5.8 Identity, signatures, and attestation</w:t>
      </w:r>
    </w:p>
    <w:p>
      <w:r>
        <w:t>TCX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5.9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5.10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5.11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5.12 Transport profiles</w:t>
      </w:r>
    </w:p>
    <w:p>
      <w:r>
        <w:t>Core TCX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5.14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TCF: Trust Context Reference Framework</w:t>
      </w:r>
    </w:p>
    <w:p>
      <w:r>
        <w:t>TCF is the initial readable implementation of TCX and TCA and the baseline system under test for TCBench.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r>
        <w:t>The reference trust engine must include a local context resolver that validates authority and delegation, maps remote namespaces and hierarchies, preserves multidimensional trust, identifies correlated sources, and produces capability- and resource-specific operating envelopes. The resolver must be replaceable so competing algorithms can be evaluated under TCBench.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TCBench: Trust Context Benchmark Specification</w:t>
      </w:r>
    </w:p>
    <w:p>
      <w:pPr>
        <w:pStyle w:val="Heading2"/>
      </w:pPr>
      <w:r>
        <w:t>7.1 Purpose</w:t>
      </w:r>
    </w:p>
    <w:p>
      <w:r>
        <w:t>TCBench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defense: authentication, static permissions, and ordinary application controls only.</w:t>
      </w:r>
    </w:p>
    <w:p>
      <w:pPr>
        <w:pStyle w:val="ListBullet"/>
      </w:pPr>
      <w:r>
        <w:t>Policy-only: IAM, Cedar, OPA, or equivalent action authorization without shared runtime trust.</w:t>
      </w:r>
    </w:p>
    <w:p>
      <w:pPr>
        <w:pStyle w:val="ListBullet"/>
      </w:pPr>
      <w:r>
        <w:t>Local guardrails: each agent, runtime, or gateway detects and responds independently without federated trust exchange.</w:t>
      </w:r>
    </w:p>
    <w:p>
      <w:pPr>
        <w:pStyle w:val="ListBullet"/>
      </w:pPr>
      <w:r>
        <w:t>Centralized monitor: a central service receives equivalent telemetry and issues or recommends containment decisions.</w:t>
      </w:r>
    </w:p>
    <w:p>
      <w:pPr>
        <w:pStyle w:val="ListBullet"/>
      </w:pPr>
      <w:r>
        <w:t>TCX-enabled: distributed signed observations, local trust-context reconciliation, and local bounded containment.</w:t>
      </w:r>
    </w:p>
    <w:p>
      <w:pPr>
        <w:pStyle w:val="ListBullet"/>
      </w:pPr>
      <w:r>
        <w:t>TCX ablations: protocol defenses, corroboration, hierarchy resolution, or selected observers disabled individually.</w:t>
      </w:r>
    </w:p>
    <w:p>
      <w:pPr>
        <w:pStyle w:val="ListBullet"/>
      </w:pPr>
      <w:r>
        <w:t>Alternative trust algorithms: multiple local resolution algorithms evaluated over the same protocol inputs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TCX/TCF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"TCF",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2"/>
      </w:pPr>
      <w:r>
        <w:t>7.8 Primary Resilience Evaluation Framework</w:t>
      </w:r>
    </w:p>
    <w:p>
      <w:pPr/>
      <w:r>
        <w:t>TCBench SHALL organize its primary evaluation around three system-level questions: resilience to rogue agents, control of false alarms, and speed of detection and isolation. Protocol correctness alone is insufficient; an implementation is valuable only when it improves the complete security-utility tradeoff relative to realistic status-quo architectures.</w:t>
      </w:r>
    </w:p>
    <w:p>
      <w:pPr>
        <w:pStyle w:val="Heading3"/>
      </w:pPr>
      <w:r>
        <w:t>7.8.1 Rogue-agent resilience</w:t>
      </w:r>
    </w:p>
    <w:p>
      <w:pPr/>
      <w:r>
        <w:t>A rogue agent may be intentionally malicious, compromised through prompt injection, operating from poisoned memory, using stolen credentials, colluding with other agents, falsifying observations, selectively misbehaving in one capability, or attempting to evade or poison the trust network.</w:t>
      </w:r>
    </w:p>
    <w:p>
      <w:pPr>
        <w:pStyle w:val="ListBullet"/>
      </w:pPr>
      <w:r>
        <w:t>Attack Success Rate (ASR): successful malicious objectives divided by attempted malicious objectives.</w:t>
      </w:r>
    </w:p>
    <w:p>
      <w:pPr>
        <w:pStyle w:val="ListBullet"/>
      </w:pPr>
      <w:r>
        <w:t>Blast radius: damage completed before effective containment, measured by affected agents, tools, records, memory objects, trust domains, or weighted impact.</w:t>
      </w:r>
    </w:p>
    <w:p>
      <w:pPr>
        <w:pStyle w:val="ListBullet"/>
      </w:pPr>
      <w:r>
        <w:t>Lateral propagation: spread through delegation, shared memory, tool access, credentials, or agent-to-agent requests.</w:t>
      </w:r>
    </w:p>
    <w:p>
      <w:pPr>
        <w:pStyle w:val="ListBullet"/>
      </w:pPr>
      <w:r>
        <w:t>Compromised-observer tolerance: degradation as the fraction and placement of malicious observers increases.</w:t>
      </w:r>
    </w:p>
    <w:p>
      <w:pPr>
        <w:pStyle w:val="ListBullet"/>
      </w:pPr>
      <w:r>
        <w:t>Partition resilience: behavior when observations, authorities, or trust nodes are delayed or unavailable.</w:t>
      </w:r>
    </w:p>
    <w:p>
      <w:pPr>
        <w:pStyle w:val="ListBullet"/>
      </w:pPr>
      <w:r>
        <w:t>Protocol poisoning resistance: ability to limit the influence of forged, replayed, colluding, or out-of-scope signals.</w:t>
      </w:r>
    </w:p>
    <w:p>
      <w:pPr/>
      <w:r>
        <w:t>Experiments SHOULD test at least 0%, 5%, 10%, 20%, 33%, and 50% compromised-observer conditions where topology permits. Results SHALL report the degradation curve and observed failure threshold rather than implying universal Byzantine tolerance.</w:t>
      </w:r>
    </w:p>
    <w:p>
      <w:pPr/>
      <w:r>
        <w:t>When trust information is incomplete, implementations SHALL document whether they fail open, fail closed, or selectively reduce capability. The benchmark SHALL measure both security impact and benign utility under each behavior.</w:t>
      </w:r>
    </w:p>
    <w:p>
      <w:pPr>
        <w:pStyle w:val="Heading3"/>
      </w:pPr>
      <w:r>
        <w:t>7.8.2 False alarms and benign utility</w:t>
      </w:r>
    </w:p>
    <w:p>
      <w:pPr/>
      <w:r>
        <w:t>False positives SHALL be separated by stage because an anomalous observation, an incorrect local interpretation, and an unnecessary quarantine are different failures.</w:t>
      </w:r>
    </w:p>
    <w:p>
      <w:pPr>
        <w:pStyle w:val="ListBullet"/>
      </w:pPr>
      <w:r>
        <w:t>Observation false positive: a benign event is reported as anomalous.</w:t>
      </w:r>
    </w:p>
    <w:p>
      <w:pPr>
        <w:pStyle w:val="ListBullet"/>
      </w:pPr>
      <w:r>
        <w:t>Trust-resolution false positive: valid observations are interpreted incorrectly in the local context.</w:t>
      </w:r>
    </w:p>
    <w:p>
      <w:pPr>
        <w:pStyle w:val="ListBullet"/>
      </w:pPr>
      <w:r>
        <w:t>Containment false positive: a benign target is constrained or isolated.</w:t>
      </w:r>
    </w:p>
    <w:p>
      <w:pPr>
        <w:pStyle w:val="ListBullet"/>
      </w:pPr>
      <w:r>
        <w:t>Capability false positive: a legitimate capability is denied while other capabilities remain usable.</w:t>
      </w:r>
    </w:p>
    <w:p>
      <w:pPr>
        <w:pStyle w:val="ListBullet"/>
      </w:pPr>
      <w:r>
        <w:t>Systemic false positive: an incorrect signal causes multiple systems to distrust or restrict a benign target.</w:t>
      </w:r>
    </w:p>
    <w:p>
      <w:pPr>
        <w:pStyle w:val="Heading4"/>
      </w:pPr>
      <w:r>
        <w:t>Required false-alarm metrics</w:t>
      </w:r>
    </w:p>
    <w:p>
      <w:pPr>
        <w:pStyle w:val="ListBullet"/>
      </w:pPr>
      <w:r>
        <w:t>False-positive rate: benign cases incorrectly flagged divided by all benign cases.</w:t>
      </w:r>
    </w:p>
    <w:p>
      <w:pPr>
        <w:pStyle w:val="ListBullet"/>
      </w:pPr>
      <w:r>
        <w:t>False-containment rate: benign agents constrained or quarantined divided by all benign agents.</w:t>
      </w:r>
    </w:p>
    <w:p>
      <w:pPr>
        <w:pStyle w:val="ListBullet"/>
      </w:pPr>
      <w:r>
        <w:t>Benign task success: legitimate tasks completed despite the trust system.</w:t>
      </w:r>
    </w:p>
    <w:p>
      <w:pPr>
        <w:pStyle w:val="ListBullet"/>
      </w:pPr>
      <w:r>
        <w:t>Unnecessary capability loss: weighted legitimate functionality removed by an incorrect decision.</w:t>
      </w:r>
    </w:p>
    <w:p>
      <w:pPr>
        <w:pStyle w:val="ListBullet"/>
      </w:pPr>
      <w:r>
        <w:t>Alert burden: alerts per 1,000 tasks, human reviews required, duplicate alerts, and investigation effort.</w:t>
      </w:r>
    </w:p>
    <w:p>
      <w:pPr>
        <w:pStyle w:val="ListBullet"/>
      </w:pPr>
      <w:r>
        <w:t>False-alarm recovery time: elapsed time from incorrect restriction to safe restoration of normal capability.</w:t>
      </w:r>
    </w:p>
    <w:p>
      <w:pPr/>
      <w:r>
        <w:t>The benchmark SHALL not reward aggressive quarantine without accounting for benign disruption. A short, capability-specific restriction and a prolonged full quarantine SHALL be scored differently.</w:t>
      </w:r>
    </w:p>
    <w:p>
      <w:pPr>
        <w:pStyle w:val="Heading3"/>
      </w:pPr>
      <w:r>
        <w:t>7.8.3 Detection, containment, and recovery latency</w:t>
      </w:r>
    </w:p>
    <w:p>
      <w:pPr>
        <w:pStyle w:val="ListBullet"/>
      </w:pPr>
      <w:r>
        <w:t>Time to Detect (TTD): first valid detection time minus attack start time.</w:t>
      </w:r>
    </w:p>
    <w:p>
      <w:pPr>
        <w:pStyle w:val="ListBullet"/>
      </w:pPr>
      <w:r>
        <w:t>Time to Trust-State Change (TTSC): local trust-state transition time minus attack start time.</w:t>
      </w:r>
    </w:p>
    <w:p>
      <w:pPr>
        <w:pStyle w:val="ListBullet"/>
      </w:pPr>
      <w:r>
        <w:t>Time to Constrain (TTC): time until the first risky capability is effectively removed or gated.</w:t>
      </w:r>
    </w:p>
    <w:p>
      <w:pPr>
        <w:pStyle w:val="ListBullet"/>
      </w:pPr>
      <w:r>
        <w:t>Time to Isolate (TTI): effective isolation time minus attack start time.</w:t>
      </w:r>
    </w:p>
    <w:p>
      <w:pPr>
        <w:pStyle w:val="ListBullet"/>
      </w:pPr>
      <w:r>
        <w:t>Time to Relevant Risk Awareness (TTRA): time until each affected peer has enough context to make its own local decision; this does not require universal agreement.</w:t>
      </w:r>
    </w:p>
    <w:p>
      <w:pPr>
        <w:pStyle w:val="ListBullet"/>
      </w:pPr>
      <w:r>
        <w:t>Time to Recovery (TTR): time from remediation evidence to safe restoration of the intended operating envelope.</w:t>
      </w:r>
    </w:p>
    <w:p>
      <w:pPr/>
      <w:r>
        <w:t>Latency results SHALL include p50, p95, p99, and worst-case values. Means alone are insufficient because rare containment delays may dominate security impact.</w:t>
      </w:r>
    </w:p>
    <w:p>
      <w:pPr>
        <w:pStyle w:val="Heading3"/>
      </w:pPr>
      <w:r>
        <w:t>7.8.4 Security-utility frontier</w:t>
      </w:r>
    </w:p>
    <w:p>
      <w:pPr/>
      <w:r>
        <w:t>TCBench SHALL report a multi-objective security-utility frontier rather than relying on one universal score. At minimum, comparisons SHALL jointly report attack success, blast radius, false containment, detection and isolation latency, benign task completion, recovery quality, and protocol overhead.</w:t>
      </w:r>
    </w:p>
    <w:p>
      <w:pPr>
        <w:pStyle w:val="ListBullet"/>
      </w:pPr>
      <w:r>
        <w:t>Fast but aggressive configurations may reduce damage while increasing false containment.</w:t>
      </w:r>
    </w:p>
    <w:p>
      <w:pPr>
        <w:pStyle w:val="ListBullet"/>
      </w:pPr>
      <w:r>
        <w:t>Conservative configurations may preserve utility while allowing longer attack windows.</w:t>
      </w:r>
    </w:p>
    <w:p>
      <w:pPr>
        <w:pStyle w:val="ListBullet"/>
      </w:pPr>
      <w:r>
        <w:t>Evidence-heavy configurations may improve precision while increasing latency and cost.</w:t>
      </w:r>
    </w:p>
    <w:p>
      <w:pPr>
        <w:pStyle w:val="ListBullet"/>
      </w:pPr>
      <w:r>
        <w:t>Different workload profiles may legitimately select different points on the frontier.</w:t>
      </w:r>
    </w:p>
    <w:p>
      <w:pPr/>
      <w:r>
        <w:t>A composite Rogue Agent Resilience Score MAY be published for convenience, but every component, weighting, and normalization SHALL remain visible. TCBench SHOULD provide workload-specific profiles such as enterprise productivity, financial transactions, critical infrastructure, consumer assistants, and research agents rather than one universal weighting.</w:t>
      </w:r>
    </w:p>
    <w:p>
      <w:pPr>
        <w:pStyle w:val="Heading3"/>
      </w:pPr>
      <w:r>
        <w:t>7.8.5 Primary comparative experiment</w:t>
      </w:r>
    </w:p>
    <w:p>
      <w:pPr/>
      <w:r>
        <w:t>The primary experiment SHALL test whether federated trust-context exchange reduces blast radius and containment latency compared with policy-only, isolated guardrails, and centralized monitoring without causing an unacceptable increase in false containment or benign utility loss.</w:t>
      </w:r>
    </w:p>
    <w:p>
      <w:pPr/>
      <w:r>
        <w:t>The minimum comparative matrix SHOULD include five defense architectures, at least ten rogue-agent scenarios, multiple compromised-observer ratios, multiple network conditions, multiple workload-risk profiles, and repeated random seeds. Every run SHALL report attack outcome, damage before containment, detection and isolation latency, benign agents affected, duration of false restrictions, recovery behavior, and system overhead.</w:t>
      </w:r>
    </w:p>
    <w:p>
      <w:pPr/>
      <w:r>
        <w:t>The publication SHALL explicitly identify attack classes and operating conditions where TCX provides no meaningful improvement or performs worse than a baseline.</w:t>
      </w:r>
    </w:p>
    <w:p>
      <w:pPr>
        <w:pStyle w:val="Heading3"/>
      </w:pPr>
      <w:r>
        <w:t>7.8.6 Cross-Domain Blast-Radius Evaluation</w:t>
      </w:r>
    </w:p>
    <w:p>
      <w:pPr/>
      <w:r>
        <w:t>Because TCOP targets ecosystems in which organizations depend on externally built and operated agents, TCBench SHALL treat cross-domain blast radius as a primary evaluation axis. Detection accuracy remains important, but it is insufficient when one compromised agent can traverse commercial, technical, and administrative relationships before any single organization has complete visibility.</w:t>
      </w:r>
    </w:p>
    <w:p>
      <w:pPr>
        <w:pStyle w:val="ListBullet"/>
      </w:pPr>
      <w:r>
        <w:t>Local Blast Radius (LBR): weighted damage, affected resources, and lost capabilities within the originating trust domain.</w:t>
      </w:r>
    </w:p>
    <w:p>
      <w:pPr>
        <w:pStyle w:val="ListBullet"/>
      </w:pPr>
      <w:r>
        <w:t>Cross-Domain Blast Radius (CBR): number and weighted criticality of independent trust domains in which the attack causes material effect.</w:t>
      </w:r>
    </w:p>
    <w:p>
      <w:pPr>
        <w:pStyle w:val="ListBullet"/>
      </w:pPr>
      <w:r>
        <w:t>Propagation Depth (PD): maximum number of inter-domain agent, delegation, or service hops reached before effective containment.</w:t>
      </w:r>
    </w:p>
    <w:p>
      <w:pPr>
        <w:pStyle w:val="ListBullet"/>
      </w:pPr>
      <w:r>
        <w:t>Propagation Velocity (PV): rate at which new trust domains experience material effect after the attack begins.</w:t>
      </w:r>
    </w:p>
    <w:p>
      <w:pPr>
        <w:pStyle w:val="ListBullet"/>
      </w:pPr>
      <w:r>
        <w:t>Containment Horizon (CH): elapsed time until no additional trust domains become materially affected.</w:t>
      </w:r>
    </w:p>
    <w:p>
      <w:pPr>
        <w:pStyle w:val="ListBullet"/>
      </w:pPr>
      <w:r>
        <w:t>Damage Before Cross-Domain Constraint (DBCC): cumulative harm incurred before receiving domains first impose effective capability restrictions.</w:t>
      </w:r>
    </w:p>
    <w:p>
      <w:pPr/>
      <w:r>
        <w:t>The principal benchmark claim SHALL be evaluated as a containment claim: whether trust-context exchange materially reduces CBR, PD, PV, CH, and DBCC relative to policy-only, isolated-guardrail, and centralized-monitoring baselines while preserving acceptable benign utility and false-containment rates.</w:t>
      </w:r>
    </w:p>
    <w:p>
      <w:pPr/>
      <w:r>
        <w:t>Cross-domain scenarios SHOULD include agents originating outside the defending organization, incomplete and asymmetric visibility, conflicting jurisdictional or business policies, delayed or privacy-limited evidence, compromised intermediaries, transitive delegation, and multiple downstream organizations that must make independent decisions.</w:t>
      </w:r>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TCA/TCX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TC-RFC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TC-RFC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TCX</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TCA</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TCBench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TCF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TC-RFC-0000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TC-RFC-0001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TC-RFC-0002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TC-RFC-0003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TC-RFC-0004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TC-RFC-0005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TC-RFC-0006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TC-RFC-0007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TCX to tool-using AI agent environments</w:t>
            </w:r>
          </w:p>
        </w:tc>
      </w:tr>
      <w:tr>
        <w:tc>
          <w:tcPr>
            <w:tcW w:type="dxa" w:w="1728"/>
            <w:vAlign w:val="center"/>
            <w:tcMar>
              <w:top w:w="100" w:type="dxa"/>
              <w:start w:w="120" w:type="dxa"/>
              <w:bottom w:w="100" w:type="dxa"/>
              <w:end w:w="120" w:type="dxa"/>
            </w:tcMar>
          </w:tcPr>
          <w:p>
            <w:r>
              <w:rPr>
                <w:sz w:val="18"/>
              </w:rPr>
              <w:t>TC-RFC-0008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TCBench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TC-RFC-0000.md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TCX v0.1 specification and JSON Schema.</w:t>
      </w:r>
    </w:p>
    <w:p>
      <w:pPr>
        <w:pStyle w:val="ListBullet"/>
      </w:pPr>
      <w:r>
        <w:t>TCA v0.1 architecture and threat model.</w:t>
      </w:r>
    </w:p>
    <w:p>
      <w:pPr>
        <w:pStyle w:val="ListBullet"/>
      </w:pPr>
      <w:r>
        <w:t>TCF reference implementation.</w:t>
      </w:r>
    </w:p>
    <w:p>
      <w:pPr>
        <w:pStyle w:val="ListBullet"/>
      </w:pPr>
      <w:r>
        <w:t>TCBench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the problem of continuous runtime trust for autonomous actors as distinct from identity, authorization, policy and observability.</w:t>
      </w:r>
    </w:p>
    <w:p>
      <w:pPr>
        <w:pStyle w:val="ListBullet"/>
      </w:pPr>
      <w:r>
        <w:t>Frame cross-domain blast-radius containment as a primary security objective for an Internet increasingly mediated by autonomous agents.</w:t>
      </w:r>
    </w:p>
    <w:p>
      <w:pPr>
        <w:pStyle w:val="ListBullet"/>
      </w:pPr>
      <w:r>
        <w:t>Present a vendor-neutral, decentralized observation-exchange architecture.</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Can TCOP materially reduce cross-domain blast radius when organizations depend on agents built, governed, or operated outside their own trust boundaries?</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ListBullet"/>
      </w:pPr>
      <w:r>
        <w:t>How resilient is TCX to rogue agents and rogue observers compared with policy-only, isolated-guardrail, and centralized-monitoring architectures?</w:t>
      </w:r>
    </w:p>
    <w:p>
      <w:pPr>
        <w:pStyle w:val="ListBullet"/>
      </w:pPr>
      <w:r>
        <w:t>What security gain is achieved for each increment of false-containment cost and benign utility loss?</w:t>
      </w:r>
    </w:p>
    <w:p>
      <w:pPr>
        <w:pStyle w:val="ListBullet"/>
      </w:pPr>
      <w:r>
        <w:t>How quickly can relevant systems detect, constrain, isolate, and later restore a compromised agent?</w:t>
      </w:r>
    </w:p>
    <w:p>
      <w:pPr>
        <w:pStyle w:val="ListBullet"/>
      </w:pPr>
      <w:r>
        <w:t>How do evidence requirements, corroboration thresholds, and hierarchy reconciliation move the security-utility frontier?</w:t>
      </w:r>
    </w:p>
    <w:p>
      <w:pPr>
        <w:pStyle w:val="Heading2"/>
      </w:pPr>
      <w:r>
        <w:t>11.3 TCBench as an Independent Research Contribution</w:t>
      </w:r>
    </w:p>
    <w:p>
      <w:r>
        <w:t>TCBench may have research value independently of broad TCX adoption. Protocol standards often require years of implementation and governance before they become infrastructure, while a rigorous benchmark can immediately improve how autonomous-system security claims are evaluated. TCBench should therefore be designed so that policy-only systems, local guardrails, centralized monitors, alternative decentralized protocols, and future defenses can all be compared without adopting TCX.</w:t>
      </w:r>
    </w:p>
    <w:p>
      <w:r>
        <w:t>A successful benchmark contribution would establish common attack scenarios, workload profiles, failure models, false-containment definitions, latency measurements, and reproducibility requirements. It should enable independent papers to report comparable results and should remain neutral about which architecture wins. The benchmark must evolve through transparent versioning so that results identify the exact workload, scenario, metric, and harness versions used.</w:t>
      </w:r>
    </w:p>
    <w:p>
      <w:r>
        <w:t>Illustrative future research uses include evaluating multi-agent security architectures with TCBench, comparing centralized and decentralized trust models, studying Byzantine observer tolerance, and measuring the security-utility frontier of evidence and corroboration policies.</w:t>
      </w:r>
    </w:p>
    <w:p>
      <w:pPr>
        <w:pStyle w:val="Heading2"/>
      </w:pPr>
      <w:r>
        <w:t>11.4 Reviewer-Facing Positioning</w:t>
      </w:r>
    </w:p>
    <w:p>
      <w:r>
        <w:t>The paper should answer “Why does this not already exist?” within its opening pages. It must distinguish the proposed contribution from workload identity, policy engines, observability, zero-trust architecture, and centralized security analytics before introducing implementation detail. The strongest defensible claim is not that related mechanisms are absent, but that no broadly adopted open protocol currently combines the complete set of properties under study: signed and scoped runtime observations, federated authority and hierarchy metadata, multidimensional local reconciliation, decentralized sovereignty, bounded containment, and a common comparative benchmark.</w:t>
      </w:r>
    </w:p>
    <w:p>
      <w:r>
        <w:t>The benchmark and paper must disclose where existing approaches are superior. Policy engines may block known prohibited actions with less overhead; centralized monitors may outperform distributed exchange when a trusted coordinator has complete low-latency visibility; and local guardrails may be sufficient for isolated low-risk agents. TCOP is justified primarily where autonomous interactions cross independent administrative boundaries and where cross-system context, partial information, local sovereignty, and resilience to compromised or unavailable coordinators materially improve outcomes. The proposal should not position TCOP as a universal enterprise security layer.</w:t>
      </w:r>
    </w:p>
    <w:p>
      <w:pPr>
        <w:pStyle w:val="Heading2"/>
      </w:pPr>
      <w:r>
        <w:t>11.5 Claims Discipline</w:t>
      </w:r>
    </w:p>
    <w:p>
      <w:r>
        <w:t>The project must not claim that no related work exists until a systematic literature and industry review is completed. The defensible initial claim is narrower: the project seeks to evaluate whether an open, vendor-neutral protocol for exchanging runtime trust observations among autonomous systems fills an interoperability and resilience gap not addressed by identity, policy, guardrails, or telemetry alone.</w:t>
      </w:r>
    </w:p>
    <w:p>
      <w:pPr>
        <w:pStyle w:val="Heading2"/>
      </w:pPr>
      <w:r>
        <w:t>11.6 Publication Success Criteria</w:t>
      </w:r>
    </w:p>
    <w:p>
      <w:pPr>
        <w:pStyle w:val="ListBullet"/>
      </w:pPr>
      <w:r>
        <w:t>A reviewer can identify the research gap and contribution without relying on the immune-system metaphor.</w:t>
      </w:r>
    </w:p>
    <w:p>
      <w:pPr>
        <w:pStyle w:val="ListBullet"/>
      </w:pPr>
      <w:r>
        <w:t>The primary hypothesis is falsifiable through published baselines, scenarios, raw results, and statistical analysis.</w:t>
      </w:r>
    </w:p>
    <w:p>
      <w:pPr>
        <w:pStyle w:val="ListBullet"/>
      </w:pPr>
      <w:r>
        <w:t>The evaluation demonstrates whether externally sourced agents can be contained before compromise propagates across multiple independent trust domains.</w:t>
      </w:r>
    </w:p>
    <w:p>
      <w:pPr>
        <w:pStyle w:val="ListBullet"/>
      </w:pPr>
      <w:r>
        <w:t>TCBench remains usable to evaluate non-TCX systems and competing protocols.</w:t>
      </w:r>
    </w:p>
    <w:p>
      <w:pPr>
        <w:pStyle w:val="ListBullet"/>
      </w:pPr>
      <w:r>
        <w:t>The paper reports both security gains and utility, latency, overhead, privacy, and false-containment costs.</w:t>
      </w:r>
    </w:p>
    <w:p>
      <w:pPr>
        <w:pStyle w:val="ListBullet"/>
      </w:pPr>
      <w:r>
        <w:t>The implementation demonstrates local sovereignty and does not hide a de facto centralized trust oracle.</w:t>
      </w:r>
    </w:p>
    <w:p>
      <w:pPr>
        <w:pStyle w:val="ListBullet"/>
      </w:pPr>
      <w:r>
        <w:t>Independent teams can reproduce the principal experiments from public artifacts.</w:t>
      </w:r>
    </w:p>
    <w:p>
      <w:pPr>
        <w:pStyle w:val="ListBullet"/>
      </w:pPr>
      <w:r>
        <w:t>The paper clearly distinguishes the inter-domain environments that warrant TCOP from intra-domain environments where simpler controls are preferable.</w:t>
      </w:r>
    </w:p>
    <w:p>
      <w:pPr>
        <w:pStyle w:val="Heading2"/>
      </w:pPr>
      <w:r>
        <w:t>11.7 Risks, Concerns, and Conditions for Success</w:t>
      </w:r>
    </w:p>
    <w:p>
      <w:pPr/>
      <w:r>
        <w:t>TCOP is a research hypothesis, not a presumption of superiority. Its strongest expected advantage is reduced cross-domain blast radius in an Internet increasingly mediated by agents built and operated beyond any single organization’s borders. Those gains must be demonstrated against realistic status-quo baselines while accounting for false containment, operational complexity, latency, privacy exposure, and protocol overhead.</w:t>
      </w:r>
    </w:p>
    <w:p>
      <w:pPr>
        <w:pStyle w:val="Heading3"/>
      </w:pPr>
      <w:r>
        <w:t>Expected comparative outcomes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left w:w="100" w:type="dxa"/>
              <w:bottom w:w="100" w:type="dxa"/>
              <w:right w:w="100" w:type="dxa"/>
            </w:tcMar>
          </w:tcPr>
          <w:p>
            <w:pPr>
              <w:spacing w:after="40" w:before="40"/>
            </w:pPr>
            <w:r>
              <w:t>Metric</w:t>
            </w:r>
          </w:p>
        </w:tc>
        <w:tc>
          <w:tcPr>
            <w:tcW w:type="dxa" w:w="3312"/>
            <w:vAlign w:val="center"/>
            <w:tcMar>
              <w:top w:w="100" w:type="dxa"/>
              <w:left w:w="100" w:type="dxa"/>
              <w:bottom w:w="100" w:type="dxa"/>
              <w:right w:w="100" w:type="dxa"/>
            </w:tcMar>
          </w:tcPr>
          <w:p>
            <w:pPr>
              <w:spacing w:after="40" w:before="40"/>
            </w:pPr>
            <w:r>
              <w:t>Current expectation</w:t>
            </w:r>
          </w:p>
        </w:tc>
        <w:tc>
          <w:tcPr>
            <w:tcW w:type="dxa" w:w="3312"/>
            <w:vAlign w:val="center"/>
            <w:tcMar>
              <w:top w:w="100" w:type="dxa"/>
              <w:left w:w="100" w:type="dxa"/>
              <w:bottom w:w="100" w:type="dxa"/>
              <w:right w:w="100" w:type="dxa"/>
            </w:tcMar>
          </w:tcPr>
          <w:p>
            <w:pPr>
              <w:spacing w:after="40" w:before="40"/>
            </w:pPr>
            <w:r>
              <w:t>Confidence</w:t>
            </w:r>
          </w:p>
        </w:tc>
      </w:tr>
      <w:tr>
        <w:tc>
          <w:tcPr>
            <w:tcW w:type="dxa" w:w="3312"/>
            <w:vAlign w:val="center"/>
            <w:tcMar>
              <w:top w:w="100" w:type="dxa"/>
              <w:left w:w="100" w:type="dxa"/>
              <w:bottom w:w="100" w:type="dxa"/>
              <w:right w:w="100" w:type="dxa"/>
            </w:tcMar>
          </w:tcPr>
          <w:p>
            <w:pPr>
              <w:spacing w:after="40" w:before="40"/>
            </w:pPr>
            <w:r>
              <w:t>Attack success rate</w:t>
            </w:r>
          </w:p>
        </w:tc>
        <w:tc>
          <w:tcPr>
            <w:tcW w:type="dxa" w:w="3312"/>
            <w:vAlign w:val="center"/>
            <w:tcMar>
              <w:top w:w="100" w:type="dxa"/>
              <w:left w:w="100" w:type="dxa"/>
              <w:bottom w:w="100" w:type="dxa"/>
              <w:right w:w="100" w:type="dxa"/>
            </w:tcMar>
          </w:tcPr>
          <w:p>
            <w:pPr>
              <w:spacing w:after="40" w:before="40"/>
            </w:pPr>
            <w:r>
              <w:t>Likely better when malicious behavior crosses trust domains or uses shared capabilities.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Blast radius</w:t>
            </w:r>
          </w:p>
        </w:tc>
        <w:tc>
          <w:tcPr>
            <w:tcW w:type="dxa" w:w="3312"/>
            <w:vAlign w:val="center"/>
            <w:tcMar>
              <w:top w:w="100" w:type="dxa"/>
              <w:left w:w="100" w:type="dxa"/>
              <w:bottom w:w="100" w:type="dxa"/>
              <w:right w:w="100" w:type="dxa"/>
            </w:tcMar>
          </w:tcPr>
          <w:p>
            <w:pPr>
              <w:spacing w:after="40" w:before="40"/>
            </w:pPr>
            <w:r>
              <w:t>Potentially substantially better because peers can receive signed context before compromise propagates widely.</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Detection latency</w:t>
            </w:r>
          </w:p>
        </w:tc>
        <w:tc>
          <w:tcPr>
            <w:tcW w:type="dxa" w:w="3312"/>
            <w:vAlign w:val="center"/>
            <w:tcMar>
              <w:top w:w="100" w:type="dxa"/>
              <w:left w:w="100" w:type="dxa"/>
              <w:bottom w:w="100" w:type="dxa"/>
              <w:right w:w="100" w:type="dxa"/>
            </w:tcMar>
          </w:tcPr>
          <w:p>
            <w:pPr>
              <w:spacing w:after="40" w:before="40"/>
            </w:pPr>
            <w:r>
              <w:t>Likely better for behavior already observed elsewhere; uncertain for novel attacks with no useful prior evidence.</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Isolation latency</w:t>
            </w:r>
          </w:p>
        </w:tc>
        <w:tc>
          <w:tcPr>
            <w:tcW w:type="dxa" w:w="3312"/>
            <w:vAlign w:val="center"/>
            <w:tcMar>
              <w:top w:w="100" w:type="dxa"/>
              <w:left w:w="100" w:type="dxa"/>
              <w:bottom w:w="100" w:type="dxa"/>
              <w:right w:w="100" w:type="dxa"/>
            </w:tcMar>
          </w:tcPr>
          <w:p>
            <w:pPr>
              <w:spacing w:after="40" w:before="40"/>
            </w:pPr>
            <w:r>
              <w:t>Likely better when local enforcement can act immediately on accepted context rather than waiting for centralized response.</w:t>
            </w:r>
          </w:p>
        </w:tc>
        <w:tc>
          <w:tcPr>
            <w:tcW w:type="dxa" w:w="3312"/>
            <w:vAlign w:val="center"/>
            <w:tcMar>
              <w:top w:w="100" w:type="dxa"/>
              <w:left w:w="100" w:type="dxa"/>
              <w:bottom w:w="100" w:type="dxa"/>
              <w:right w:w="100" w:type="dxa"/>
            </w:tcMar>
          </w:tcPr>
          <w:p>
            <w:pPr>
              <w:spacing w:after="40" w:before="40"/>
            </w:pPr>
            <w:r>
              <w:t>Medium–High</w:t>
            </w:r>
          </w:p>
        </w:tc>
      </w:tr>
      <w:tr>
        <w:tc>
          <w:tcPr>
            <w:tcW w:type="dxa" w:w="3312"/>
            <w:vAlign w:val="center"/>
            <w:tcMar>
              <w:top w:w="100" w:type="dxa"/>
              <w:left w:w="100" w:type="dxa"/>
              <w:bottom w:w="100" w:type="dxa"/>
              <w:right w:w="100" w:type="dxa"/>
            </w:tcMar>
          </w:tcPr>
          <w:p>
            <w:pPr>
              <w:spacing w:after="40" w:before="40"/>
            </w:pPr>
            <w:r>
              <w:t>False positives and false containment</w:t>
            </w:r>
          </w:p>
        </w:tc>
        <w:tc>
          <w:tcPr>
            <w:tcW w:type="dxa" w:w="3312"/>
            <w:vAlign w:val="center"/>
            <w:tcMar>
              <w:top w:w="100" w:type="dxa"/>
              <w:left w:w="100" w:type="dxa"/>
              <w:bottom w:w="100" w:type="dxa"/>
              <w:right w:w="100" w:type="dxa"/>
            </w:tcMar>
          </w:tcPr>
          <w:p>
            <w:pPr>
              <w:spacing w:after="40" w:before="40"/>
            </w:pPr>
            <w:r>
              <w:t>Could improve through explicit authority, provenance, scope, and local reconciliation—or worsen through distributed amplification of erroneous observations.</w:t>
            </w:r>
          </w:p>
        </w:tc>
        <w:tc>
          <w:tcPr>
            <w:tcW w:type="dxa" w:w="3312"/>
            <w:vAlign w:val="center"/>
            <w:tcMar>
              <w:top w:w="100" w:type="dxa"/>
              <w:left w:w="100" w:type="dxa"/>
              <w:bottom w:w="100" w:type="dxa"/>
              <w:right w:w="100" w:type="dxa"/>
            </w:tcMar>
          </w:tcPr>
          <w:p>
            <w:pPr>
              <w:spacing w:after="40" w:before="40"/>
            </w:pPr>
            <w:r>
              <w:t>Low</w:t>
            </w:r>
          </w:p>
        </w:tc>
      </w:tr>
      <w:tr>
        <w:tc>
          <w:tcPr>
            <w:tcW w:type="dxa" w:w="3312"/>
            <w:vAlign w:val="center"/>
            <w:tcMar>
              <w:top w:w="100" w:type="dxa"/>
              <w:left w:w="100" w:type="dxa"/>
              <w:bottom w:w="100" w:type="dxa"/>
              <w:right w:w="100" w:type="dxa"/>
            </w:tcMar>
          </w:tcPr>
          <w:p>
            <w:pPr>
              <w:spacing w:after="40" w:before="40"/>
            </w:pPr>
            <w:r>
              <w:t>Benign task completion</w:t>
            </w:r>
          </w:p>
        </w:tc>
        <w:tc>
          <w:tcPr>
            <w:tcW w:type="dxa" w:w="3312"/>
            <w:vAlign w:val="center"/>
            <w:tcMar>
              <w:top w:w="100" w:type="dxa"/>
              <w:left w:w="100" w:type="dxa"/>
              <w:bottom w:w="100" w:type="dxa"/>
              <w:right w:w="100" w:type="dxa"/>
            </w:tcMar>
          </w:tcPr>
          <w:p>
            <w:pPr>
              <w:spacing w:after="40" w:before="40"/>
            </w:pPr>
            <w:r>
              <w:t>May initially decline under conservative policies; could recover or improve with capability-specific constraints and mature tuning.</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Scalability</w:t>
            </w:r>
          </w:p>
        </w:tc>
        <w:tc>
          <w:tcPr>
            <w:tcW w:type="dxa" w:w="3312"/>
            <w:vAlign w:val="center"/>
            <w:tcMar>
              <w:top w:w="100" w:type="dxa"/>
              <w:left w:w="100" w:type="dxa"/>
              <w:bottom w:w="100" w:type="dxa"/>
              <w:right w:w="100" w:type="dxa"/>
            </w:tcMar>
          </w:tcPr>
          <w:p>
            <w:pPr>
              <w:spacing w:after="40" w:before="40"/>
            </w:pPr>
            <w:r>
              <w:t>Potentially comparable, but dependent on filtering, caching, fan-out controls, and transport bindings.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Runtime and network overhead</w:t>
            </w:r>
          </w:p>
        </w:tc>
        <w:tc>
          <w:tcPr>
            <w:tcW w:type="dxa" w:w="3312"/>
            <w:vAlign w:val="center"/>
            <w:tcMar>
              <w:top w:w="100" w:type="dxa"/>
              <w:left w:w="100" w:type="dxa"/>
              <w:bottom w:w="100" w:type="dxa"/>
              <w:right w:w="100" w:type="dxa"/>
            </w:tcMar>
          </w:tcPr>
          <w:p>
            <w:pPr>
              <w:spacing w:after="40" w:before="40"/>
            </w:pPr>
            <w:r>
              <w:t>Expected to be higher than policy-only or isolated local-guardrail baselines.</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Resilience to monitor or network failure</w:t>
            </w:r>
          </w:p>
        </w:tc>
        <w:tc>
          <w:tcPr>
            <w:tcW w:type="dxa" w:w="3312"/>
            <w:vAlign w:val="center"/>
            <w:tcMar>
              <w:top w:w="100" w:type="dxa"/>
              <w:left w:w="100" w:type="dxa"/>
              <w:bottom w:w="100" w:type="dxa"/>
              <w:right w:w="100" w:type="dxa"/>
            </w:tcMar>
          </w:tcPr>
          <w:p>
            <w:pPr>
              <w:spacing w:after="40" w:before="40"/>
            </w:pPr>
            <w:r>
              <w:t>Potentially better than a centralized architecture if nodes retain local sovereignty and degrade selectively.</w:t>
            </w:r>
          </w:p>
        </w:tc>
        <w:tc>
          <w:tcPr>
            <w:tcW w:type="dxa" w:w="3312"/>
            <w:vAlign w:val="center"/>
            <w:tcMar>
              <w:top w:w="100" w:type="dxa"/>
              <w:left w:w="100" w:type="dxa"/>
              <w:bottom w:w="100" w:type="dxa"/>
              <w:right w:w="100" w:type="dxa"/>
            </w:tcMar>
          </w:tcPr>
          <w:p>
            <w:pPr>
              <w:spacing w:after="40" w:before="40"/>
            </w:pPr>
            <w:r>
              <w:t>Medium–High</w:t>
            </w:r>
          </w:p>
        </w:tc>
      </w:tr>
    </w:tbl>
    <w:p>
      <w:pPr>
        <w:pStyle w:val="Heading3"/>
      </w:pPr>
      <w:r>
        <w:t>Primary areas of concern</w:t>
      </w:r>
    </w:p>
    <w:p>
      <w:pPr>
        <w:pStyle w:val="ListBullet"/>
      </w:pPr>
      <w:r>
        <w:rPr>
          <w:b/>
        </w:rPr>
        <w:t xml:space="preserve">False-alarm amplification. </w:t>
      </w:r>
      <w:r>
        <w:t>A false or poorly scoped observation could spread across domains and cause multiple benign agents to lose capabilities. Explicit provenance, authority, confidence, independence, freshness, and local reconciliation reduce this risk but do not eliminate it.</w:t>
      </w:r>
    </w:p>
    <w:p>
      <w:pPr>
        <w:pStyle w:val="ListBullet"/>
      </w:pPr>
      <w:r>
        <w:rPr>
          <w:b/>
        </w:rPr>
        <w:t xml:space="preserve">Compromised or colluding observers. </w:t>
      </w:r>
      <w:r>
        <w:t>Rogue participants may fabricate evidence, exaggerate confidence, replay stale observations, create apparent corroboration, or coordinate Sybil identities. TCBench must measure graceful degradation as the compromised-observer ratio rises.</w:t>
      </w:r>
    </w:p>
    <w:p>
      <w:pPr>
        <w:pStyle w:val="ListBullet"/>
      </w:pPr>
      <w:r>
        <w:rPr>
          <w:b/>
        </w:rPr>
        <w:t xml:space="preserve">Incremental rather than architectural benefit. </w:t>
      </w:r>
      <w:r>
        <w:t>Small improvements in detection or blast radius may not justify a new standards layer if they are offset by complexity and overhead. The research must establish material gains, not merely statistical gains.</w:t>
      </w:r>
    </w:p>
    <w:p>
      <w:pPr>
        <w:pStyle w:val="ListBullet"/>
      </w:pPr>
      <w:r>
        <w:rPr>
          <w:b/>
        </w:rPr>
        <w:t xml:space="preserve">Operational complexity. </w:t>
      </w:r>
      <w:r>
        <w:t>Discovery, key management, delegation, namespace mapping, authority validation, retention, privacy controls, and policy tuning may impose costs that outweigh benefits in simple or tightly centralized deployments.</w:t>
      </w:r>
    </w:p>
    <w:p>
      <w:pPr>
        <w:pStyle w:val="ListBullet"/>
      </w:pPr>
      <w:r>
        <w:rPr>
          <w:b/>
        </w:rPr>
        <w:t xml:space="preserve">Latency and availability tradeoffs. </w:t>
      </w:r>
      <w:r>
        <w:t>Waiting for corroboration may slow containment, while immediate action may increase false positives. Missing or partitioned trust-context sources create difficult fail-open, fail-closed, and selective-degradation choices.</w:t>
      </w:r>
    </w:p>
    <w:p>
      <w:pPr>
        <w:pStyle w:val="ListBullet"/>
      </w:pPr>
      <w:r>
        <w:rPr>
          <w:b/>
        </w:rPr>
        <w:t xml:space="preserve">Privacy and information leakage. </w:t>
      </w:r>
      <w:r>
        <w:t>Trust context can reveal behavior, topology, capability use, organizational relationships, and security posture. Minimization, scoped disclosure, retention limits, and privacy-preserving aggregation are required.</w:t>
      </w:r>
    </w:p>
    <w:p>
      <w:pPr>
        <w:pStyle w:val="ListBullet"/>
      </w:pPr>
      <w:r>
        <w:rPr>
          <w:b/>
        </w:rPr>
        <w:t xml:space="preserve">Strategic adaptation. </w:t>
      </w:r>
      <w:r>
        <w:t>Attackers may learn how observations are weighted, behave benignly for long periods, operate just below thresholds, poison shared memory gradually, or trigger distrust of legitimate peers.</w:t>
      </w:r>
    </w:p>
    <w:p>
      <w:pPr>
        <w:pStyle w:val="ListBullet"/>
      </w:pPr>
      <w:r>
        <w:rPr>
          <w:b/>
        </w:rPr>
        <w:t xml:space="preserve">Trust monoculture. </w:t>
      </w:r>
      <w:r>
        <w:t>Even without a global score, widespread reuse of the same resolver, evidence source, or policy profile may create correlated failures that appear locally independent.</w:t>
      </w:r>
    </w:p>
    <w:p>
      <w:pPr>
        <w:pStyle w:val="Heading3"/>
      </w:pPr>
      <w:r>
        <w:t>Environments where TCOP may not outperform the status quo</w:t>
      </w:r>
    </w:p>
    <w:p>
      <w:pPr>
        <w:pStyle w:val="ListBullet"/>
      </w:pPr>
      <w:r>
        <w:t>A single-domain deployment with one identity plane, one policy engine, and tightly controlled infrastructure will often not need TCOP, regardless of organization size.</w:t>
      </w:r>
    </w:p>
    <w:p>
      <w:pPr>
        <w:pStyle w:val="ListBullet"/>
      </w:pPr>
      <w:r>
        <w:t>Ultra-low-latency or safety-critical control loops may be unable to tolerate added exchange or reconciliation delay.</w:t>
      </w:r>
    </w:p>
    <w:p>
      <w:pPr>
        <w:pStyle w:val="ListBullet"/>
      </w:pPr>
      <w:r>
        <w:t>Organizations without mature identity, telemetry, key-management, and enforcement foundations may add complexity without obtaining reliable trust context.</w:t>
      </w:r>
    </w:p>
    <w:p>
      <w:pPr>
        <w:pStyle w:val="ListBullet"/>
      </w:pPr>
      <w:r>
        <w:t>Centralized monitoring may remain simpler and more effective where all relevant systems are under one administrative authority and network partitions are rare.</w:t>
      </w:r>
    </w:p>
    <w:p>
      <w:pPr>
        <w:pStyle w:val="ListBullet"/>
      </w:pPr>
      <w:r>
        <w:t>Policy-only controls may be sufficient for deterministic workflows whose permissible behavior is already tightly bounded.</w:t>
      </w:r>
    </w:p>
    <w:p>
      <w:pPr>
        <w:pStyle w:val="Heading3"/>
      </w:pPr>
      <w:r>
        <w:t>Adaptive-adversary evaluation requirement</w:t>
      </w:r>
    </w:p>
    <w:p>
      <w:r>
        <w:t>The most important experiments should include adaptive, low-and-slow adversaries rather than only obvious one-step attacks. A representative scenario should allow a rogue agent to behave normally, establish history, incrementally expand capability use, attempt lateral movement, poison shared memory, coordinate with another compromised agent, and manipulate the observation network. Evaluation must measure damage before constraint, cross-domain awareness, containment convergence, benign-agent impact, and safe recovery.</w:t>
      </w:r>
    </w:p>
    <w:p>
      <w:pPr>
        <w:pStyle w:val="Heading3"/>
      </w:pPr>
      <w:r>
        <w:t>Materiality threshold and interpretation of results</w:t>
      </w:r>
    </w:p>
    <w:p>
      <w:r>
        <w:t>TCOP should not claim success merely because one metric improves. Results must be interpreted across the complete security-utility frontier: attack success, blast radius, detection and isolation latency, false containment, benign task completion, recovery quality, scalability, and overhead. A result such as a small latency improvement paired with materially greater overhead may be an engineering tradeoff rather than evidence for a new standards layer.</w:t>
      </w:r>
    </w:p>
    <w:p>
      <w:r>
        <w:t>The proposal should pre-register or otherwise disclose thresholds for practically meaningful improvement. Illustrative targets—not normative requirements—could include substantial reductions in blast radius and cross-domain containment time, comparable false-containment rates, and graceful degradation under compromised observers and network partitions. Negative results, narrow applicability, and cases where existing architectures win are valid and should be reported explicitly.</w:t>
      </w:r>
    </w:p>
    <w:p>
      <w:pPr>
        <w:pStyle w:val="Heading3"/>
      </w:pPr>
      <w:r>
        <w:t>Conditions for success</w:t>
      </w:r>
    </w:p>
    <w:p>
      <w:pPr>
        <w:pStyle w:val="ListBullet"/>
      </w:pPr>
      <w:r>
        <w:t>Trust context produces materially better security outcomes than identity, policy, and telemetry alone for at least one important class of distributed autonomous systems.</w:t>
      </w:r>
    </w:p>
    <w:p>
      <w:pPr>
        <w:pStyle w:val="ListBullet"/>
      </w:pPr>
      <w:r>
        <w:t>Local sovereignty prevents erroneous remote conclusions from becoming universally binding decisions.</w:t>
      </w:r>
    </w:p>
    <w:p>
      <w:pPr>
        <w:pStyle w:val="ListBullet"/>
      </w:pPr>
      <w:r>
        <w:t>Capability-specific operating envelopes reduce damage without requiring unnecessary full-agent quarantine.</w:t>
      </w:r>
    </w:p>
    <w:p>
      <w:pPr>
        <w:pStyle w:val="ListBullet"/>
      </w:pPr>
      <w:r>
        <w:t>False alarms remain operationally tolerable, explainable, reversible, and measurable.</w:t>
      </w:r>
    </w:p>
    <w:p>
      <w:pPr>
        <w:pStyle w:val="ListBullet"/>
      </w:pPr>
      <w:r>
        <w:t>The architecture degrades predictably under partitions, stale context, compromised observers, and incomplete authority chains.</w:t>
      </w:r>
    </w:p>
    <w:p>
      <w:pPr>
        <w:pStyle w:val="ListBullet"/>
      </w:pPr>
      <w:r>
        <w:t>Protocol and reconciliation overhead remain proportionate to the reduction in attack success and blast radius.</w:t>
      </w:r>
    </w:p>
    <w:p>
      <w:pPr>
        <w:pStyle w:val="ListBullet"/>
      </w:pPr>
      <w:r>
        <w:t>TCBench remains neutral enough to evaluate competing centralized, decentralized, and hybrid approaches—even if TCOP is not the winner.</w:t>
      </w:r>
    </w:p>
    <w:p>
      <w:pPr>
        <w:pStyle w:val="Heading2"/>
      </w:pPr>
      <w:r>
        <w:t>11.8 Lessons from Existing Distributed Protocols</w:t>
      </w:r>
    </w:p>
    <w:p>
      <w:pPr/>
      <w:r>
        <w:t>Many individual risks faced by TCOP already appear in mature distributed protocols. The research contribution is not to reinvent those mechanisms, but to combine and adapt them for interoperable runtime trust context while avoiding abstractions—especially global consensus—that conflict with local trust sovereignty.</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F4E78"/>
            <w:vAlign w:val="center"/>
          </w:tcPr>
          <w:p>
            <w:r>
              <w:rPr>
                <w:b/>
              </w:rPr>
              <w:t>TCOP concern</w:t>
            </w:r>
          </w:p>
        </w:tc>
        <w:tc>
          <w:tcPr>
            <w:tcW w:type="dxa" w:w="2304"/>
            <w:shd w:fill="1F4E78"/>
            <w:vAlign w:val="center"/>
          </w:tcPr>
          <w:p>
            <w:r>
              <w:rPr>
                <w:b/>
              </w:rPr>
              <w:t>Relevant precedent</w:t>
            </w:r>
          </w:p>
        </w:tc>
        <w:tc>
          <w:tcPr>
            <w:tcW w:type="dxa" w:w="4968"/>
            <w:shd w:fill="1F4E78"/>
            <w:vAlign w:val="center"/>
          </w:tcPr>
          <w:p>
            <w:r>
              <w:rPr>
                <w:b/>
              </w:rPr>
              <w:t>Transferable mechanism or lesson</w:t>
            </w:r>
          </w:p>
        </w:tc>
      </w:tr>
      <w:tr>
        <w:tc>
          <w:tcPr>
            <w:tcW w:type="dxa" w:w="3312"/>
            <w:vAlign w:val="center"/>
            <w:tcMar>
              <w:top w:w="100" w:type="dxa"/>
              <w:start w:w="120" w:type="dxa"/>
              <w:bottom w:w="100" w:type="dxa"/>
              <w:end w:w="120" w:type="dxa"/>
            </w:tcMar>
          </w:tcPr>
          <w:p>
            <w:pPr>
              <w:spacing w:after="40"/>
            </w:pPr>
            <w:r>
              <w:rPr>
                <w:sz w:val="18"/>
              </w:rPr>
              <w:t>Discovery and delegated authority</w:t>
            </w:r>
          </w:p>
        </w:tc>
        <w:tc>
          <w:tcPr>
            <w:tcW w:type="dxa" w:w="3312"/>
            <w:vAlign w:val="center"/>
            <w:tcMar>
              <w:top w:w="100" w:type="dxa"/>
              <w:start w:w="120" w:type="dxa"/>
              <w:bottom w:w="100" w:type="dxa"/>
              <w:end w:w="120" w:type="dxa"/>
            </w:tcMar>
          </w:tcPr>
          <w:p>
            <w:pPr>
              <w:spacing w:after="40"/>
            </w:pPr>
            <w:r>
              <w:rPr>
                <w:sz w:val="18"/>
              </w:rPr>
              <w:t>DNS</w:t>
            </w:r>
          </w:p>
        </w:tc>
        <w:tc>
          <w:tcPr>
            <w:tcW w:type="dxa" w:w="3312"/>
            <w:vAlign w:val="center"/>
            <w:tcMar>
              <w:top w:w="100" w:type="dxa"/>
              <w:start w:w="120" w:type="dxa"/>
              <w:bottom w:w="100" w:type="dxa"/>
              <w:end w:w="120" w:type="dxa"/>
            </w:tcMar>
          </w:tcPr>
          <w:p>
            <w:pPr>
              <w:spacing w:after="40"/>
            </w:pPr>
            <w:r>
              <w:rPr>
                <w:sz w:val="18"/>
              </w:rPr>
              <w:t>Hierarchical delegation, authoritative sources, caching, TTLs, and signed records. Discovery identifies who may speak; it does not establish that every assertion is true.</w:t>
            </w:r>
          </w:p>
        </w:tc>
      </w:tr>
      <w:tr>
        <w:tc>
          <w:tcPr>
            <w:tcW w:type="dxa" w:w="3312"/>
            <w:vAlign w:val="center"/>
            <w:tcMar>
              <w:top w:w="100" w:type="dxa"/>
              <w:start w:w="120" w:type="dxa"/>
              <w:bottom w:w="100" w:type="dxa"/>
              <w:end w:w="120" w:type="dxa"/>
            </w:tcMar>
          </w:tcPr>
          <w:p>
            <w:pPr>
              <w:spacing w:after="40"/>
            </w:pPr>
            <w:r>
              <w:rPr>
                <w:sz w:val="18"/>
              </w:rPr>
              <w:t>Identity and authenticity</w:t>
            </w:r>
          </w:p>
        </w:tc>
        <w:tc>
          <w:tcPr>
            <w:tcW w:type="dxa" w:w="3312"/>
            <w:vAlign w:val="center"/>
            <w:tcMar>
              <w:top w:w="100" w:type="dxa"/>
              <w:start w:w="120" w:type="dxa"/>
              <w:bottom w:w="100" w:type="dxa"/>
              <w:end w:w="120" w:type="dxa"/>
            </w:tcMar>
          </w:tcPr>
          <w:p>
            <w:pPr>
              <w:spacing w:after="40"/>
            </w:pPr>
            <w:r>
              <w:rPr>
                <w:sz w:val="18"/>
              </w:rPr>
              <w:t>PKI / SPIFFE / TLS</w:t>
            </w:r>
          </w:p>
        </w:tc>
        <w:tc>
          <w:tcPr>
            <w:tcW w:type="dxa" w:w="3312"/>
            <w:vAlign w:val="center"/>
            <w:tcMar>
              <w:top w:w="100" w:type="dxa"/>
              <w:start w:w="120" w:type="dxa"/>
              <w:bottom w:w="100" w:type="dxa"/>
              <w:end w:w="120" w:type="dxa"/>
            </w:tcMar>
          </w:tcPr>
          <w:p>
            <w:pPr>
              <w:spacing w:after="40"/>
            </w:pPr>
            <w:r>
              <w:rPr>
                <w:sz w:val="18"/>
              </w:rPr>
              <w:t>Workload identity, certificate chains, signatures, attestation, key rotation, and proof that an observation came from the asserted publisher.</w:t>
            </w:r>
          </w:p>
        </w:tc>
      </w:tr>
      <w:tr>
        <w:tc>
          <w:tcPr>
            <w:tcW w:type="dxa" w:w="3312"/>
            <w:vAlign w:val="center"/>
            <w:tcMar>
              <w:top w:w="100" w:type="dxa"/>
              <w:start w:w="120" w:type="dxa"/>
              <w:bottom w:w="100" w:type="dxa"/>
              <w:end w:w="120" w:type="dxa"/>
            </w:tcMar>
          </w:tcPr>
          <w:p>
            <w:pPr>
              <w:spacing w:after="40"/>
            </w:pPr>
            <w:r>
              <w:rPr>
                <w:sz w:val="18"/>
              </w:rPr>
              <w:t>Conflicting or false assertions</w:t>
            </w:r>
          </w:p>
        </w:tc>
        <w:tc>
          <w:tcPr>
            <w:tcW w:type="dxa" w:w="3312"/>
            <w:vAlign w:val="center"/>
            <w:tcMar>
              <w:top w:w="100" w:type="dxa"/>
              <w:start w:w="120" w:type="dxa"/>
              <w:bottom w:w="100" w:type="dxa"/>
              <w:end w:w="120" w:type="dxa"/>
            </w:tcMar>
          </w:tcPr>
          <w:p>
            <w:pPr>
              <w:spacing w:after="40"/>
            </w:pPr>
            <w:r>
              <w:rPr>
                <w:sz w:val="18"/>
              </w:rPr>
              <w:t>BGP</w:t>
            </w:r>
          </w:p>
        </w:tc>
        <w:tc>
          <w:tcPr>
            <w:tcW w:type="dxa" w:w="3312"/>
            <w:vAlign w:val="center"/>
            <w:tcMar>
              <w:top w:w="100" w:type="dxa"/>
              <w:start w:w="120" w:type="dxa"/>
              <w:bottom w:w="100" w:type="dxa"/>
              <w:end w:w="120" w:type="dxa"/>
            </w:tcMar>
          </w:tcPr>
          <w:p>
            <w:pPr>
              <w:spacing w:after="40"/>
            </w:pPr>
            <w:r>
              <w:rPr>
                <w:sz w:val="18"/>
              </w:rPr>
              <w:t>Local policy, source relationships, filtering, preference, multiple simultaneous advertisements, explicit withdrawals, and acceptance that different participants can hold different valid views.</w:t>
            </w:r>
          </w:p>
        </w:tc>
      </w:tr>
      <w:tr>
        <w:tc>
          <w:tcPr>
            <w:tcW w:type="dxa" w:w="3312"/>
            <w:vAlign w:val="center"/>
            <w:tcMar>
              <w:top w:w="100" w:type="dxa"/>
              <w:start w:w="120" w:type="dxa"/>
              <w:bottom w:w="100" w:type="dxa"/>
              <w:end w:w="120" w:type="dxa"/>
            </w:tcMar>
          </w:tcPr>
          <w:p>
            <w:pPr>
              <w:spacing w:after="40"/>
            </w:pPr>
            <w:r>
              <w:rPr>
                <w:sz w:val="18"/>
              </w:rPr>
              <w:t>Evidence publication without centralized judgment</w:t>
            </w:r>
          </w:p>
        </w:tc>
        <w:tc>
          <w:tcPr>
            <w:tcW w:type="dxa" w:w="3312"/>
            <w:vAlign w:val="center"/>
            <w:tcMar>
              <w:top w:w="100" w:type="dxa"/>
              <w:start w:w="120" w:type="dxa"/>
              <w:bottom w:w="100" w:type="dxa"/>
              <w:end w:w="120" w:type="dxa"/>
            </w:tcMar>
          </w:tcPr>
          <w:p>
            <w:pPr>
              <w:spacing w:after="40"/>
            </w:pPr>
            <w:r>
              <w:rPr>
                <w:sz w:val="18"/>
              </w:rPr>
              <w:t>Certificate Transparency</w:t>
            </w:r>
          </w:p>
        </w:tc>
        <w:tc>
          <w:tcPr>
            <w:tcW w:type="dxa" w:w="3312"/>
            <w:vAlign w:val="center"/>
            <w:tcMar>
              <w:top w:w="100" w:type="dxa"/>
              <w:start w:w="120" w:type="dxa"/>
              <w:bottom w:w="100" w:type="dxa"/>
              <w:end w:w="120" w:type="dxa"/>
            </w:tcMar>
          </w:tcPr>
          <w:p>
            <w:pPr>
              <w:spacing w:after="40"/>
            </w:pPr>
            <w:r>
              <w:rPr>
                <w:sz w:val="18"/>
              </w:rPr>
              <w:t>Append-only evidence, independent witnesses, auditability, and endpoint-controlled interpretation rather than a globally imposed verdict.</w:t>
            </w:r>
          </w:p>
        </w:tc>
      </w:tr>
      <w:tr>
        <w:tc>
          <w:tcPr>
            <w:tcW w:type="dxa" w:w="3312"/>
            <w:vAlign w:val="center"/>
            <w:tcMar>
              <w:top w:w="100" w:type="dxa"/>
              <w:start w:w="120" w:type="dxa"/>
              <w:bottom w:w="100" w:type="dxa"/>
              <w:end w:w="120" w:type="dxa"/>
            </w:tcMar>
          </w:tcPr>
          <w:p>
            <w:pPr>
              <w:spacing w:after="40"/>
            </w:pPr>
            <w:r>
              <w:rPr>
                <w:sz w:val="18"/>
              </w:rPr>
              <w:t>Neutral collection semantics</w:t>
            </w:r>
          </w:p>
        </w:tc>
        <w:tc>
          <w:tcPr>
            <w:tcW w:type="dxa" w:w="3312"/>
            <w:vAlign w:val="center"/>
            <w:tcMar>
              <w:top w:w="100" w:type="dxa"/>
              <w:start w:w="120" w:type="dxa"/>
              <w:bottom w:w="100" w:type="dxa"/>
              <w:end w:w="120" w:type="dxa"/>
            </w:tcMar>
          </w:tcPr>
          <w:p>
            <w:pPr>
              <w:spacing w:after="40"/>
            </w:pPr>
            <w:r>
              <w:rPr>
                <w:sz w:val="18"/>
              </w:rPr>
              <w:t>OpenTelemetry</w:t>
            </w:r>
          </w:p>
        </w:tc>
        <w:tc>
          <w:tcPr>
            <w:tcW w:type="dxa" w:w="3312"/>
            <w:vAlign w:val="center"/>
            <w:tcMar>
              <w:top w:w="100" w:type="dxa"/>
              <w:start w:w="120" w:type="dxa"/>
              <w:bottom w:w="100" w:type="dxa"/>
              <w:end w:w="120" w:type="dxa"/>
            </w:tcMar>
          </w:tcPr>
          <w:p>
            <w:pPr>
              <w:spacing w:after="40"/>
            </w:pPr>
            <w:r>
              <w:rPr>
                <w:sz w:val="18"/>
              </w:rPr>
              <w:t>Standardize data production and transport while leaving interpretation and action to downstream systems.</w:t>
            </w:r>
          </w:p>
        </w:tc>
      </w:tr>
      <w:tr>
        <w:tc>
          <w:tcPr>
            <w:tcW w:type="dxa" w:w="3312"/>
            <w:vAlign w:val="center"/>
            <w:tcMar>
              <w:top w:w="100" w:type="dxa"/>
              <w:start w:w="120" w:type="dxa"/>
              <w:bottom w:w="100" w:type="dxa"/>
              <w:end w:w="120" w:type="dxa"/>
            </w:tcMar>
          </w:tcPr>
          <w:p>
            <w:pPr>
              <w:spacing w:after="40"/>
            </w:pPr>
            <w:r>
              <w:rPr>
                <w:sz w:val="18"/>
              </w:rPr>
              <w:t>Stale or invalid context</w:t>
            </w:r>
          </w:p>
        </w:tc>
        <w:tc>
          <w:tcPr>
            <w:tcW w:type="dxa" w:w="3312"/>
            <w:vAlign w:val="center"/>
            <w:tcMar>
              <w:top w:w="100" w:type="dxa"/>
              <w:start w:w="120" w:type="dxa"/>
              <w:bottom w:w="100" w:type="dxa"/>
              <w:end w:w="120" w:type="dxa"/>
            </w:tcMar>
          </w:tcPr>
          <w:p>
            <w:pPr>
              <w:spacing w:after="40"/>
            </w:pPr>
            <w:r>
              <w:rPr>
                <w:sz w:val="18"/>
              </w:rPr>
              <w:t>DNS / BGP / certificate revocation</w:t>
            </w:r>
          </w:p>
        </w:tc>
        <w:tc>
          <w:tcPr>
            <w:tcW w:type="dxa" w:w="3312"/>
            <w:vAlign w:val="center"/>
            <w:tcMar>
              <w:top w:w="100" w:type="dxa"/>
              <w:start w:w="120" w:type="dxa"/>
              <w:bottom w:w="100" w:type="dxa"/>
              <w:end w:w="120" w:type="dxa"/>
            </w:tcMar>
          </w:tcPr>
          <w:p>
            <w:pPr>
              <w:spacing w:after="40"/>
            </w:pPr>
            <w:r>
              <w:rPr>
                <w:sz w:val="18"/>
              </w:rPr>
              <w:t>Expiration, validity windows, withdrawals, revocation, supersession, and explicit handling of compromised publishers or invalidated evidence.</w:t>
            </w:r>
          </w:p>
        </w:tc>
      </w:tr>
      <w:tr>
        <w:tc>
          <w:tcPr>
            <w:tcW w:type="dxa" w:w="3312"/>
            <w:vAlign w:val="center"/>
            <w:tcMar>
              <w:top w:w="100" w:type="dxa"/>
              <w:start w:w="120" w:type="dxa"/>
              <w:bottom w:w="100" w:type="dxa"/>
              <w:end w:w="120" w:type="dxa"/>
            </w:tcMar>
          </w:tcPr>
          <w:p>
            <w:pPr>
              <w:spacing w:after="40"/>
            </w:pPr>
            <w:r>
              <w:rPr>
                <w:sz w:val="18"/>
              </w:rPr>
              <w:t>Large-scale dissemination</w:t>
            </w:r>
          </w:p>
        </w:tc>
        <w:tc>
          <w:tcPr>
            <w:tcW w:type="dxa" w:w="3312"/>
            <w:vAlign w:val="center"/>
            <w:tcMar>
              <w:top w:w="100" w:type="dxa"/>
              <w:start w:w="120" w:type="dxa"/>
              <w:bottom w:w="100" w:type="dxa"/>
              <w:end w:w="120" w:type="dxa"/>
            </w:tcMar>
          </w:tcPr>
          <w:p>
            <w:pPr>
              <w:spacing w:after="40"/>
            </w:pPr>
            <w:r>
              <w:rPr>
                <w:sz w:val="18"/>
              </w:rPr>
              <w:t>Gossip and epidemic protocols</w:t>
            </w:r>
          </w:p>
        </w:tc>
        <w:tc>
          <w:tcPr>
            <w:tcW w:type="dxa" w:w="3312"/>
            <w:vAlign w:val="center"/>
            <w:tcMar>
              <w:top w:w="100" w:type="dxa"/>
              <w:start w:w="120" w:type="dxa"/>
              <w:bottom w:w="100" w:type="dxa"/>
              <w:end w:w="120" w:type="dxa"/>
            </w:tcMar>
          </w:tcPr>
          <w:p>
            <w:pPr>
              <w:spacing w:after="40"/>
            </w:pPr>
            <w:r>
              <w:rPr>
                <w:sz w:val="18"/>
              </w:rPr>
              <w:t>Bounded fan-out, anti-entropy, deduplication, probabilistic dissemination, and eventual propagation without flooding every participant.</w:t>
            </w:r>
          </w:p>
        </w:tc>
      </w:tr>
      <w:tr>
        <w:tc>
          <w:tcPr>
            <w:tcW w:type="dxa" w:w="3312"/>
            <w:vAlign w:val="center"/>
            <w:tcMar>
              <w:top w:w="100" w:type="dxa"/>
              <w:start w:w="120" w:type="dxa"/>
              <w:bottom w:w="100" w:type="dxa"/>
              <w:end w:w="120" w:type="dxa"/>
            </w:tcMar>
          </w:tcPr>
          <w:p>
            <w:pPr>
              <w:spacing w:after="40"/>
            </w:pPr>
            <w:r>
              <w:rPr>
                <w:sz w:val="18"/>
              </w:rPr>
              <w:t>Partitions and partial availability</w:t>
            </w:r>
          </w:p>
        </w:tc>
        <w:tc>
          <w:tcPr>
            <w:tcW w:type="dxa" w:w="3312"/>
            <w:vAlign w:val="center"/>
            <w:tcMar>
              <w:top w:w="100" w:type="dxa"/>
              <w:start w:w="120" w:type="dxa"/>
              <w:bottom w:w="100" w:type="dxa"/>
              <w:end w:w="120" w:type="dxa"/>
            </w:tcMar>
          </w:tcPr>
          <w:p>
            <w:pPr>
              <w:spacing w:after="40"/>
            </w:pPr>
            <w:r>
              <w:rPr>
                <w:sz w:val="18"/>
              </w:rPr>
              <w:t>Dynamo-style systems</w:t>
            </w:r>
          </w:p>
        </w:tc>
        <w:tc>
          <w:tcPr>
            <w:tcW w:type="dxa" w:w="3312"/>
            <w:vAlign w:val="center"/>
            <w:tcMar>
              <w:top w:w="100" w:type="dxa"/>
              <w:start w:w="120" w:type="dxa"/>
              <w:bottom w:w="100" w:type="dxa"/>
              <w:end w:w="120" w:type="dxa"/>
            </w:tcMar>
          </w:tcPr>
          <w:p>
            <w:pPr>
              <w:spacing w:after="40"/>
            </w:pPr>
            <w:r>
              <w:rPr>
                <w:sz w:val="18"/>
              </w:rPr>
              <w:t>Explicit consistency/availability tradeoffs, graceful degradation, bounded staleness, and policy-controlled fail-open, fail-closed, or capability-reduced behavior.</w:t>
            </w:r>
          </w:p>
        </w:tc>
      </w:tr>
      <w:tr>
        <w:tc>
          <w:tcPr>
            <w:tcW w:type="dxa" w:w="3312"/>
            <w:vAlign w:val="center"/>
            <w:tcMar>
              <w:top w:w="100" w:type="dxa"/>
              <w:start w:w="120" w:type="dxa"/>
              <w:bottom w:w="100" w:type="dxa"/>
              <w:end w:w="120" w:type="dxa"/>
            </w:tcMar>
          </w:tcPr>
          <w:p>
            <w:pPr>
              <w:spacing w:after="40"/>
            </w:pPr>
            <w:r>
              <w:rPr>
                <w:sz w:val="18"/>
              </w:rPr>
              <w:t>Byzantine or colluding participants</w:t>
            </w:r>
          </w:p>
        </w:tc>
        <w:tc>
          <w:tcPr>
            <w:tcW w:type="dxa" w:w="3312"/>
            <w:vAlign w:val="center"/>
            <w:tcMar>
              <w:top w:w="100" w:type="dxa"/>
              <w:start w:w="120" w:type="dxa"/>
              <w:bottom w:w="100" w:type="dxa"/>
              <w:end w:w="120" w:type="dxa"/>
            </w:tcMar>
          </w:tcPr>
          <w:p>
            <w:pPr>
              <w:spacing w:after="40"/>
            </w:pPr>
            <w:r>
              <w:rPr>
                <w:sz w:val="18"/>
              </w:rPr>
              <w:t>BFT and quorum systems</w:t>
            </w:r>
          </w:p>
        </w:tc>
        <w:tc>
          <w:tcPr>
            <w:tcW w:type="dxa" w:w="3312"/>
            <w:vAlign w:val="center"/>
            <w:tcMar>
              <w:top w:w="100" w:type="dxa"/>
              <w:start w:w="120" w:type="dxa"/>
              <w:bottom w:w="100" w:type="dxa"/>
              <w:end w:w="120" w:type="dxa"/>
            </w:tcMar>
          </w:tcPr>
          <w:p>
            <w:pPr>
              <w:spacing w:after="40"/>
            </w:pPr>
            <w:r>
              <w:rPr>
                <w:sz w:val="18"/>
              </w:rPr>
              <w:t>Threat thresholds, independent corroboration, diversity requirements, witness sets, and explicit assumptions about how many participants may be compromised.</w:t>
            </w:r>
          </w:p>
        </w:tc>
      </w:tr>
      <w:tr>
        <w:tc>
          <w:tcPr>
            <w:tcW w:type="dxa" w:w="3312"/>
            <w:vAlign w:val="center"/>
            <w:tcMar>
              <w:top w:w="100" w:type="dxa"/>
              <w:start w:w="120" w:type="dxa"/>
              <w:bottom w:w="100" w:type="dxa"/>
              <w:end w:w="120" w:type="dxa"/>
            </w:tcMar>
          </w:tcPr>
          <w:p>
            <w:pPr>
              <w:spacing w:after="40"/>
            </w:pPr>
            <w:r>
              <w:rPr>
                <w:sz w:val="18"/>
              </w:rPr>
              <w:t>Agreement requirements</w:t>
            </w:r>
          </w:p>
        </w:tc>
        <w:tc>
          <w:tcPr>
            <w:tcW w:type="dxa" w:w="3312"/>
            <w:vAlign w:val="center"/>
            <w:tcMar>
              <w:top w:w="100" w:type="dxa"/>
              <w:start w:w="120" w:type="dxa"/>
              <w:bottom w:w="100" w:type="dxa"/>
              <w:end w:w="120" w:type="dxa"/>
            </w:tcMar>
          </w:tcPr>
          <w:p>
            <w:pPr>
              <w:spacing w:after="40"/>
            </w:pPr>
            <w:r>
              <w:rPr>
                <w:sz w:val="18"/>
              </w:rPr>
              <w:t>Raft / Paxos</w:t>
            </w:r>
          </w:p>
        </w:tc>
        <w:tc>
          <w:tcPr>
            <w:tcW w:type="dxa" w:w="3312"/>
            <w:vAlign w:val="center"/>
            <w:tcMar>
              <w:top w:w="100" w:type="dxa"/>
              <w:start w:w="120" w:type="dxa"/>
              <w:bottom w:w="100" w:type="dxa"/>
              <w:end w:w="120" w:type="dxa"/>
            </w:tcMar>
          </w:tcPr>
          <w:p>
            <w:pPr>
              <w:spacing w:after="40"/>
            </w:pPr>
            <w:r>
              <w:rPr>
                <w:sz w:val="18"/>
              </w:rPr>
              <w:t>A negative lesson: consensus is appropriate when one replicated state must be agreed, but usually wrong when trust conclusions are legitimately local and contextual.</w:t>
            </w:r>
          </w:p>
        </w:tc>
      </w:tr>
    </w:tbl>
    <w:p>
      <w:pPr>
        <w:pStyle w:val="Heading3"/>
      </w:pPr>
      <w:r>
        <w:t>False observations and contextual authority</w:t>
      </w:r>
    </w:p>
    <w:p>
      <w:pPr/>
      <w:r>
        <w:t>TCOP must assume that a syntactically valid and correctly signed observation can still be wrong, misleading, out of scope, or malicious. As in BGP, authentication establishes the source of an assertion but does not make the assertion correct. Local relationship, delegated authority, corroboration, scope, and policy therefore remain essential inputs.</w:t>
      </w:r>
    </w:p>
    <w:p>
      <w:pPr>
        <w:pStyle w:val="Heading3"/>
      </w:pPr>
      <w:r>
        <w:t>Freshness, withdrawal, revocation, and supersession</w:t>
      </w:r>
    </w:p>
    <w:p>
      <w:pPr/>
      <w:r>
        <w:t>Trust context cannot accumulate indefinitely. Every material assertion should support a bounded validity interval and a lifecycle that includes expiration, withdrawal, revocation, or supersession. Required invalidation cases include a compromised observer, revoked delegation, invalidated evidence, corrected observation, and a previously suspicious condition that has been remediated.</w:t>
      </w:r>
    </w:p>
    <w:p>
      <w:pPr>
        <w:pStyle w:val="Heading3"/>
      </w:pPr>
      <w:r>
        <w:t>Dissemination and scaling</w:t>
      </w:r>
    </w:p>
    <w:p>
      <w:pPr/>
      <w:r>
        <w:t>TCX should support direct exchange first, while leaving room for bounded gossip or brokered dissemination profiles. Any such profile must preserve provenance, deduplicate observations, limit amplification, respect privacy boundaries, and avoid treating propagation frequency as evidence of truth.</w:t>
      </w:r>
    </w:p>
    <w:p>
      <w:pPr>
        <w:pStyle w:val="Heading3"/>
      </w:pPr>
      <w:r>
        <w:t>Why consensus is not the default abstraction</w:t>
      </w:r>
    </w:p>
    <w:p>
      <w:pPr/>
      <w:r>
        <w:t>Raft, Paxos, and Byzantine consensus protocols solve agreement over shared state. TCOP usually solves a different problem: reliable access to signed context from which independent domains make risk-sensitive local decisions. Requiring agreement would erase legitimate differences in policy, capability, jurisdiction, and risk tolerance. TCOP therefore requires consistent exchange semantics but permits divergent conclusions.</w:t>
      </w:r>
    </w:p>
    <w:p>
      <w:pPr>
        <w:pStyle w:val="Heading3"/>
      </w:pPr>
      <w:r>
        <w:t>Design implications for TCBench</w:t>
      </w:r>
    </w:p>
    <w:p>
      <w:pPr>
        <w:pStyle w:val="ListBullet"/>
      </w:pPr>
      <w:r>
        <w:t>Measure the effect of stale records, delayed withdrawals, revoked delegations, and compromised signing keys.</w:t>
      </w:r>
    </w:p>
    <w:p>
      <w:pPr>
        <w:pStyle w:val="ListBullet"/>
      </w:pPr>
      <w:r>
        <w:t>Vary the proportion, authority, and correlation of false or colluding observers rather than testing only random independent faults.</w:t>
      </w:r>
    </w:p>
    <w:p>
      <w:pPr>
        <w:pStyle w:val="ListBullet"/>
      </w:pPr>
      <w:r>
        <w:t>Test network partitions, broker failures, cache staleness, duplicate delivery, reordering, and partial discovery failure.</w:t>
      </w:r>
    </w:p>
    <w:p>
      <w:pPr>
        <w:pStyle w:val="ListBullet"/>
      </w:pPr>
      <w:r>
        <w:t>Measure whether repeated propagation amplifies a false observation into systemic false containment.</w:t>
      </w:r>
    </w:p>
    <w:p>
      <w:pPr>
        <w:pStyle w:val="ListBullet"/>
      </w:pPr>
      <w:r>
        <w:t>Verify that independent domains can reach different justified operating envelopes without being scored as protocol inconsistency.</w:t>
      </w:r>
    </w:p>
    <w:p>
      <w:pPr>
        <w:pStyle w:val="ListBullet"/>
      </w:pPr>
      <w:r>
        <w:t>Compare direct, centralized, and gossip-style dissemination profiles for latency, overhead, privacy, and blast-radius reduction.</w:t>
      </w:r>
    </w:p>
    <w:p>
      <w:pPr>
        <w:pStyle w:val="Heading1"/>
      </w:pPr>
      <w:r>
        <w:t>12. Open Questions and Evolution Policy</w:t>
      </w:r>
    </w:p>
    <w:p>
      <w:pPr>
        <w:pStyle w:val="ListBullet"/>
      </w:pPr>
      <w:r>
        <w:t>What constitutes a sufficiently direct observation versus an assertion?</w:t>
      </w:r>
    </w:p>
    <w:p>
      <w:pPr>
        <w:pStyle w:val="ListBullet"/>
      </w:pPr>
      <w:r>
        <w:t>What minimum degree of administrative independence, external-agent reliance, or cross-domain consequence justifies TCOP deployment?</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this draft. Testing, conformance failures, security analysis, and independent implementations are expected to change the specification. Changes must be made through TC-RFCs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r>
        <w:t>Additional trust-context conformance requirements:</w:t>
      </w:r>
    </w:p>
    <w:p>
      <w:pPr>
        <w:pStyle w:val="ListBullet"/>
      </w:pPr>
      <w:r>
        <w:t>Reject or downgrade an observation whose claimed authority cannot be validated for its declared scope.</w:t>
      </w:r>
    </w:p>
    <w:p>
      <w:pPr>
        <w:pStyle w:val="ListBullet"/>
      </w:pPr>
      <w:r>
        <w:t>Preserve distinct trust dimensions rather than treating a remote aggregate score as authoritative.</w:t>
      </w:r>
    </w:p>
    <w:p>
      <w:pPr>
        <w:pStyle w:val="ListBullet"/>
      </w:pPr>
      <w:r>
        <w:t>Correctly map a signed remote namespace record into a configured local namespace.</w:t>
      </w:r>
    </w:p>
    <w:p>
      <w:pPr>
        <w:pStyle w:val="ListBullet"/>
      </w:pPr>
      <w:r>
        <w:t>Detect a broken, expired, revoked, or cyclic delegation chain.</w:t>
      </w:r>
    </w:p>
    <w:p>
      <w:pPr>
        <w:pStyle w:val="ListBullet"/>
      </w:pPr>
      <w:r>
        <w:t>Distinguish independent corroboration from observations sharing the same upstream authority or evidence source.</w:t>
      </w:r>
    </w:p>
    <w:p>
      <w:pPr>
        <w:pStyle w:val="ListBullet"/>
      </w:pPr>
      <w:r>
        <w:t>Produce different operating envelopes for different capabilities of the same subject when context warrants it.</w:t>
      </w:r>
    </w:p>
    <w:p>
      <w:pPr>
        <w:pStyle w:val="ListBullet"/>
      </w:pPr>
      <w:r>
        <w:t>Remain deterministic for the same accepted observation set, local policy, hierarchy mapping, and resolver version.</w:t>
      </w:r>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TC-RFC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headerReference w:type="first" r:id="rId11"/>
      <w:headerReference w:type="even"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and standards draft | Trust context architecture, exchange, discovery, resolution, benchmark, and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TCOP — TRUST CONTEXT PROJECT  |  UNIFIED SPECIFICATION v0.9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 in a TCOP: A Trust Context Architecture and Benchmark for Distributed Autonomous Systems</dc:title>
  <dc:subject>TCOP unified research, architecture, protocol, benchmark, framework, and governance specification v0.5</dc:subject>
  <dc:creator>python-docx</dc:creator>
  <cp:keywords>TCOP, trust context, TCA, TCDP, TCX, TCRS, TCBench, TCF, autonomous agents, runtime trust</cp:keywords>
  <dc:description>Version 0.9: inter-domain applicability boundary and BGP analogy.</dc:description>
  <cp:lastModifiedBy/>
  <cp:revision>1</cp:revision>
  <dcterms:created xsi:type="dcterms:W3CDTF">2013-12-23T23:15:00Z</dcterms:created>
  <dcterms:modified xsi:type="dcterms:W3CDTF">2013-12-23T23:15:00Z</dcterms:modified>
  <cp:category/>
  <cp:version>0.9</cp:version>
</cp:coreProperties>
</file>