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8" Type="http://schemas.openxmlformats.org/officeDocument/2006/relationships/custom-properties" Target="docProps/custom.xml"/><Relationship Id="rId7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6" Type="http://schemas.openxmlformats.org/package/2006/relationships/metadata/core-properties" Target="docProps/core.xml"/><Relationship Id="rId5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3351C" w14:textId="77777777" w:rsidR="003B7FE1" w:rsidRDefault="00EF0798">
      <w:pPr>
        <w:pStyle w:val="papertitle"/>
      </w:pPr>
      <w:r>
        <w:rPr>
          <w:rFonts w:hint="eastAsia"/>
        </w:rPr>
        <w:t xml:space="preserve">GCFH-MDA: Graph Collaborative Filtering with Hypergraph Augmentation for </w:t>
      </w:r>
      <w:r>
        <w:rPr>
          <w:rFonts w:eastAsia="宋体" w:hint="eastAsia"/>
          <w:lang w:eastAsia="zh-CN"/>
        </w:rPr>
        <w:t>m</w:t>
      </w:r>
      <w:r>
        <w:rPr>
          <w:rFonts w:hint="eastAsia"/>
        </w:rPr>
        <w:t>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Drug Association Prediction</w:t>
      </w:r>
    </w:p>
    <w:p w14:paraId="5E39279F" w14:textId="71832580" w:rsidR="003B7FE1" w:rsidRDefault="00EF0798">
      <w:pPr>
        <w:pStyle w:val="autho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Ying Fu</w:t>
      </w:r>
      <w:r>
        <w:rPr>
          <w:vertAlign w:val="superscript"/>
        </w:rPr>
        <w:t>1</w:t>
      </w:r>
      <w:r>
        <w:rPr>
          <w:rFonts w:eastAsia="宋体" w:hint="eastAsia"/>
          <w:lang w:eastAsia="zh-CN"/>
        </w:rPr>
        <w:t>, Ru Nie</w:t>
      </w:r>
      <w:r>
        <w:rPr>
          <w:rFonts w:eastAsia="宋体" w:hint="eastAsia"/>
          <w:vertAlign w:val="superscript"/>
          <w:lang w:eastAsia="zh-CN"/>
        </w:rPr>
        <w:t>1</w:t>
      </w:r>
      <w:r>
        <w:rPr>
          <w:rFonts w:eastAsia="宋体" w:hint="eastAsia"/>
          <w:lang w:eastAsia="zh-CN"/>
        </w:rPr>
        <w:t xml:space="preserve">, </w:t>
      </w:r>
      <w:proofErr w:type="spellStart"/>
      <w:r>
        <w:rPr>
          <w:rFonts w:eastAsia="宋体" w:hint="eastAsia"/>
          <w:lang w:eastAsia="zh-CN"/>
        </w:rPr>
        <w:t>Zhengwei</w:t>
      </w:r>
      <w:proofErr w:type="spellEnd"/>
      <w:r>
        <w:rPr>
          <w:rFonts w:eastAsia="宋体" w:hint="eastAsia"/>
          <w:lang w:eastAsia="zh-CN"/>
        </w:rPr>
        <w:t xml:space="preserve"> Li</w:t>
      </w:r>
      <w:r>
        <w:rPr>
          <w:rFonts w:eastAsia="宋体" w:hint="eastAsia"/>
          <w:vertAlign w:val="superscript"/>
          <w:lang w:eastAsia="zh-CN"/>
        </w:rPr>
        <w:t xml:space="preserve">1,2,3 </w:t>
      </w:r>
      <w:r>
        <w:rPr>
          <w:rFonts w:eastAsia="宋体" w:hint="eastAsia"/>
          <w:lang w:eastAsia="zh-CN"/>
        </w:rPr>
        <w:t xml:space="preserve">and </w:t>
      </w:r>
      <w:proofErr w:type="spellStart"/>
      <w:r>
        <w:rPr>
          <w:rFonts w:eastAsia="宋体" w:hint="eastAsia"/>
          <w:lang w:eastAsia="zh-CN"/>
        </w:rPr>
        <w:t>Zhanguo</w:t>
      </w:r>
      <w:proofErr w:type="spellEnd"/>
      <w:r>
        <w:rPr>
          <w:rFonts w:eastAsia="宋体" w:hint="eastAsia"/>
          <w:lang w:eastAsia="zh-CN"/>
        </w:rPr>
        <w:t xml:space="preserve"> Xia</w:t>
      </w:r>
      <w:r>
        <w:rPr>
          <w:rFonts w:eastAsia="宋体" w:hint="eastAsia"/>
          <w:vertAlign w:val="superscript"/>
          <w:lang w:eastAsia="zh-CN"/>
        </w:rPr>
        <w:t>1</w:t>
      </w:r>
    </w:p>
    <w:p w14:paraId="51B1DE4B" w14:textId="77777777" w:rsidR="003B7FE1" w:rsidRDefault="00EF0798">
      <w:pPr>
        <w:pStyle w:val="address"/>
      </w:pPr>
      <w:r>
        <w:rPr>
          <w:vertAlign w:val="superscript"/>
        </w:rPr>
        <w:t>1</w:t>
      </w:r>
      <w:r>
        <w:t xml:space="preserve"> </w:t>
      </w:r>
      <w:r>
        <w:rPr>
          <w:rFonts w:hint="eastAsia"/>
        </w:rPr>
        <w:t>School of Computer Science and Technology, China University of Mining and Technology, Xuzhou 221116, China</w:t>
      </w:r>
    </w:p>
    <w:p w14:paraId="2FA9D3CA" w14:textId="77777777" w:rsidR="003B7FE1" w:rsidRDefault="00EF0798">
      <w:pPr>
        <w:pStyle w:val="address"/>
      </w:pPr>
      <w:r>
        <w:rPr>
          <w:vertAlign w:val="superscript"/>
        </w:rPr>
        <w:t>2</w:t>
      </w:r>
      <w:r>
        <w:t xml:space="preserve"> </w:t>
      </w:r>
      <w:r>
        <w:rPr>
          <w:rFonts w:hint="eastAsia"/>
        </w:rPr>
        <w:t>Big Data and Intelligent Computing Research Center, Guangxi Academy of Science, Nanning 530007, China</w:t>
      </w:r>
    </w:p>
    <w:p w14:paraId="212EBF7B" w14:textId="77777777" w:rsidR="003B7FE1" w:rsidRDefault="00EF0798">
      <w:pPr>
        <w:pStyle w:val="address"/>
      </w:pPr>
      <w:r>
        <w:rPr>
          <w:vertAlign w:val="superscript"/>
        </w:rPr>
        <w:t>3</w:t>
      </w:r>
      <w:r>
        <w:t xml:space="preserve"> </w:t>
      </w:r>
      <w:r>
        <w:rPr>
          <w:rFonts w:hint="eastAsia"/>
        </w:rPr>
        <w:t>School of Artificial Intelligence, China University of Mining and Technology, Xuzhou</w:t>
      </w:r>
      <w:r>
        <w:t xml:space="preserve"> </w:t>
      </w:r>
      <w:r>
        <w:rPr>
          <w:rFonts w:hint="eastAsia"/>
        </w:rPr>
        <w:t>221116, China</w:t>
      </w:r>
    </w:p>
    <w:p w14:paraId="19749605" w14:textId="77777777" w:rsidR="003B7FE1" w:rsidRDefault="00EF0798">
      <w:pPr>
        <w:pStyle w:val="abstract"/>
        <w:spacing w:after="0"/>
        <w:ind w:firstLine="0"/>
      </w:pPr>
      <w:r>
        <w:rPr>
          <w:b/>
          <w:bCs/>
        </w:rPr>
        <w:t xml:space="preserve">Abstract. </w:t>
      </w:r>
      <w:r>
        <w:rPr>
          <w:rFonts w:eastAsia="宋体" w:hint="eastAsia"/>
          <w:lang w:eastAsia="zh-CN"/>
        </w:rPr>
        <w:t>Mi</w:t>
      </w:r>
      <w:r>
        <w:rPr>
          <w:rFonts w:hint="eastAsia"/>
        </w:rPr>
        <w:t>croRNAs</w:t>
      </w:r>
      <w:r>
        <w:rPr>
          <w:rFonts w:eastAsia="宋体" w:hint="eastAsia"/>
          <w:lang w:eastAsia="zh-CN"/>
        </w:rPr>
        <w:t xml:space="preserve"> (miRNAs)</w:t>
      </w:r>
      <w:r>
        <w:rPr>
          <w:rFonts w:hint="eastAsia"/>
        </w:rPr>
        <w:t xml:space="preserve"> </w:t>
      </w:r>
      <w:r>
        <w:rPr>
          <w:rFonts w:eastAsia="宋体" w:hint="eastAsia"/>
          <w:lang w:eastAsia="zh-CN"/>
        </w:rPr>
        <w:t xml:space="preserve">play a pivotal role in </w:t>
      </w:r>
      <w:r>
        <w:rPr>
          <w:rFonts w:hint="eastAsia"/>
        </w:rPr>
        <w:t>drug response regulation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by modulating target gene expression</w:t>
      </w:r>
      <w:r>
        <w:rPr>
          <w:rFonts w:eastAsia="宋体" w:hint="eastAsia"/>
          <w:lang w:eastAsia="zh-CN"/>
        </w:rPr>
        <w:t xml:space="preserve">. However, existing miRNA-drug association prediction methods remain challenges due to </w:t>
      </w:r>
      <w:r>
        <w:rPr>
          <w:rFonts w:hint="eastAsia"/>
        </w:rPr>
        <w:t>sparse interaction data and insufficient integration of biological priors.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To address these, we propose GCFH-MDA, a graph collaborative filtering framework with hypergraph augmentation.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 xml:space="preserve">The model formulates the task as collaborative filtering on a </w:t>
      </w:r>
      <w:r>
        <w:rPr>
          <w:rFonts w:eastAsia="宋体" w:hint="eastAsia"/>
          <w:lang w:eastAsia="zh-CN"/>
        </w:rPr>
        <w:t>p</w:t>
      </w:r>
      <w:r>
        <w:rPr>
          <w:rFonts w:hint="eastAsia"/>
        </w:rPr>
        <w:t>rior-</w:t>
      </w:r>
      <w:r>
        <w:rPr>
          <w:rFonts w:eastAsia="宋体" w:hint="eastAsia"/>
          <w:lang w:eastAsia="zh-CN"/>
        </w:rPr>
        <w:t>g</w:t>
      </w:r>
      <w:r>
        <w:rPr>
          <w:rFonts w:hint="eastAsia"/>
        </w:rPr>
        <w:t xml:space="preserve">uided bipartite </w:t>
      </w:r>
      <w:r>
        <w:rPr>
          <w:rFonts w:eastAsia="宋体" w:hint="eastAsia"/>
          <w:lang w:eastAsia="zh-CN"/>
        </w:rPr>
        <w:t>i</w:t>
      </w:r>
      <w:r>
        <w:rPr>
          <w:rFonts w:hint="eastAsia"/>
        </w:rPr>
        <w:t xml:space="preserve">nteraction </w:t>
      </w:r>
      <w:r>
        <w:rPr>
          <w:rFonts w:eastAsia="宋体" w:hint="eastAsia"/>
          <w:lang w:eastAsia="zh-CN"/>
        </w:rPr>
        <w:t>g</w:t>
      </w:r>
      <w:r>
        <w:rPr>
          <w:rFonts w:hint="eastAsia"/>
        </w:rPr>
        <w:t>rap</w:t>
      </w:r>
      <w:r>
        <w:t>h.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 xml:space="preserve">To overcome sparsity, auxiliary hypergraphs </w:t>
      </w:r>
      <w:r>
        <w:t xml:space="preserve">are constructed from </w:t>
      </w:r>
      <w:r>
        <w:rPr>
          <w:rFonts w:hint="eastAsia"/>
        </w:rPr>
        <w:t xml:space="preserve">two complementary views: a regulatory view derived from miRNA-gene and drug-gene networks, and an embedding view </w:t>
      </w:r>
      <w:r>
        <w:t>based on</w:t>
      </w:r>
      <w:r>
        <w:rPr>
          <w:rFonts w:hint="eastAsia"/>
        </w:rPr>
        <w:t xml:space="preserve"> sequence and structural </w:t>
      </w:r>
      <w:r>
        <w:t>features</w:t>
      </w:r>
      <w:r>
        <w:rPr>
          <w:rFonts w:hint="eastAsia"/>
        </w:rPr>
        <w:t>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Geodesic feature augmentation prioritizes biologically specific pathways, while contrastive learning aligns local and global representations within each view.</w:t>
      </w:r>
      <w:r>
        <w:rPr>
          <w:rFonts w:eastAsia="宋体" w:hint="eastAsia"/>
          <w:lang w:eastAsia="zh-CN"/>
        </w:rPr>
        <w:t xml:space="preserve"> Experiments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o</w:t>
      </w:r>
      <w:r>
        <w:rPr>
          <w:rFonts w:hint="eastAsia"/>
        </w:rPr>
        <w:t xml:space="preserve">n 8,720 </w:t>
      </w:r>
      <w:r>
        <w:rPr>
          <w:rFonts w:eastAsia="宋体" w:hint="eastAsia"/>
          <w:lang w:eastAsia="zh-CN"/>
        </w:rPr>
        <w:t xml:space="preserve">known </w:t>
      </w:r>
      <w:r>
        <w:rPr>
          <w:rFonts w:hint="eastAsia"/>
        </w:rPr>
        <w:t>associations</w:t>
      </w:r>
      <w:r>
        <w:rPr>
          <w:rFonts w:eastAsia="宋体" w:hint="eastAsia"/>
          <w:lang w:eastAsia="zh-CN"/>
        </w:rPr>
        <w:t xml:space="preserve"> under five-fold cross-validation</w:t>
      </w:r>
      <w:r>
        <w:rPr>
          <w:rFonts w:eastAsia="宋体"/>
          <w:lang w:eastAsia="zh-CN"/>
        </w:rPr>
        <w:t xml:space="preserve"> show </w:t>
      </w:r>
      <w:proofErr w:type="gramStart"/>
      <w:r>
        <w:rPr>
          <w:rFonts w:eastAsia="宋体"/>
          <w:lang w:eastAsia="zh-CN"/>
        </w:rPr>
        <w:t>that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 xml:space="preserve"> GCFH</w:t>
      </w:r>
      <w:proofErr w:type="gramEnd"/>
      <w:r>
        <w:rPr>
          <w:rFonts w:hint="eastAsia"/>
        </w:rPr>
        <w:t>-MDA achieves 96.64% AUC and 96.04% AUPR,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outperforming s</w:t>
      </w:r>
      <w:r>
        <w:rPr>
          <w:rFonts w:eastAsia="宋体" w:hint="eastAsia"/>
          <w:lang w:eastAsia="zh-CN"/>
        </w:rPr>
        <w:t>even</w:t>
      </w:r>
      <w:r>
        <w:rPr>
          <w:rFonts w:hint="eastAsia"/>
        </w:rPr>
        <w:t xml:space="preserve"> </w:t>
      </w:r>
      <w:r>
        <w:rPr>
          <w:rFonts w:eastAsia="宋体" w:hint="eastAsia"/>
          <w:lang w:eastAsia="zh-CN"/>
        </w:rPr>
        <w:t xml:space="preserve">state-of-the-art </w:t>
      </w:r>
      <w:r>
        <w:rPr>
          <w:rFonts w:hint="eastAsia"/>
        </w:rPr>
        <w:t>baselines. Th</w:t>
      </w:r>
      <w:r>
        <w:rPr>
          <w:rFonts w:eastAsia="宋体" w:hint="eastAsia"/>
          <w:lang w:eastAsia="zh-CN"/>
        </w:rPr>
        <w:t>is</w:t>
      </w:r>
      <w:r>
        <w:t xml:space="preserve"> </w:t>
      </w:r>
      <w:proofErr w:type="gramStart"/>
      <w:r>
        <w:t>demonstrate</w:t>
      </w:r>
      <w:proofErr w:type="gramEnd"/>
      <w:r>
        <w:t xml:space="preserve"> the effectiveness of integrating </w:t>
      </w:r>
      <w:r>
        <w:rPr>
          <w:rFonts w:hint="eastAsia"/>
        </w:rPr>
        <w:t>biological priors and multimodal information for prioritizing miRNA–drug candidates.</w:t>
      </w:r>
    </w:p>
    <w:p w14:paraId="28AC0A78" w14:textId="77777777" w:rsidR="003B7FE1" w:rsidRDefault="00EF0798">
      <w:pPr>
        <w:pStyle w:val="keywords"/>
        <w:rPr>
          <w:rFonts w:eastAsiaTheme="minorEastAsia"/>
          <w:lang w:eastAsia="zh-CN"/>
        </w:rPr>
      </w:pPr>
      <w:r>
        <w:rPr>
          <w:b/>
          <w:bCs/>
        </w:rPr>
        <w:t>Keywords:</w:t>
      </w:r>
      <w:r>
        <w:t xml:space="preserve"> </w:t>
      </w:r>
      <w:r>
        <w:rPr>
          <w:rFonts w:hint="eastAsia"/>
        </w:rPr>
        <w:t>miRNA-drug association prediction,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collaborative filtering,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hypergraph representation learning,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contrastive learning</w:t>
      </w:r>
      <w:r>
        <w:t>.</w:t>
      </w:r>
    </w:p>
    <w:p w14:paraId="6B1A7076" w14:textId="77777777" w:rsidR="003B7FE1" w:rsidRDefault="00EF0798">
      <w:pPr>
        <w:pStyle w:val="heading1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Introduction</w:t>
      </w:r>
    </w:p>
    <w:p w14:paraId="70595B05" w14:textId="3BB0AE01" w:rsidR="003B7FE1" w:rsidRDefault="00EF0798">
      <w:pPr>
        <w:pStyle w:val="p1a"/>
        <w:ind w:firstLineChars="100" w:firstLine="200"/>
        <w:rPr>
          <w:rFonts w:eastAsiaTheme="minorEastAsia"/>
          <w:lang w:eastAsia="zh-CN"/>
        </w:rPr>
      </w:pPr>
      <w:r>
        <w:rPr>
          <w:lang w:eastAsia="zh-CN"/>
        </w:rPr>
        <w:t>Cancer remains a leading cause of death worldwide,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imposing a severe global health burden</w:t>
      </w:r>
      <w:r>
        <w:rPr>
          <w:rFonts w:hint="eastAsia"/>
          <w:lang w:eastAsia="zh-CN"/>
        </w:rPr>
        <w:t xml:space="preserve"> </w:t>
      </w:r>
      <w:r>
        <w:rPr>
          <w:rFonts w:eastAsia="宋体" w:hint="eastAsia"/>
        </w:rPr>
        <w:t>[</w:t>
      </w:r>
      <w:r w:rsidR="00531735">
        <w:rPr>
          <w:rFonts w:eastAsia="宋体"/>
        </w:rPr>
        <w:t>1</w:t>
      </w:r>
      <w:r>
        <w:rPr>
          <w:rFonts w:eastAsia="宋体" w:hint="eastAsia"/>
        </w:rPr>
        <w:t>]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 xml:space="preserve">Although </w:t>
      </w:r>
      <w:r>
        <w:rPr>
          <w:lang w:eastAsia="zh-CN"/>
        </w:rPr>
        <w:t>chemotherapy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is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a cornerstone of cancer treatment, the genetic and epigenetic evolution of tumor cells often drives drug resistance, </w:t>
      </w:r>
      <w:r>
        <w:rPr>
          <w:rFonts w:hint="eastAsia"/>
          <w:lang w:eastAsia="zh-CN"/>
        </w:rPr>
        <w:t xml:space="preserve">leading </w:t>
      </w:r>
      <w:r>
        <w:rPr>
          <w:lang w:eastAsia="zh-CN"/>
        </w:rPr>
        <w:t>to treatment failure and poor prognosis</w:t>
      </w:r>
      <w:r>
        <w:rPr>
          <w:rFonts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[</w:t>
      </w:r>
      <w:r w:rsidR="00531735">
        <w:rPr>
          <w:rFonts w:eastAsiaTheme="minorEastAsia"/>
          <w:lang w:eastAsia="zh-CN"/>
        </w:rPr>
        <w:t>2</w:t>
      </w:r>
      <w:r>
        <w:rPr>
          <w:rFonts w:eastAsiaTheme="minorEastAsia" w:hint="eastAsia"/>
          <w:lang w:eastAsia="zh-CN"/>
        </w:rPr>
        <w:t>]</w:t>
      </w:r>
      <w:r>
        <w:rPr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  <w:r>
        <w:rPr>
          <w:lang w:eastAsia="zh-CN"/>
        </w:rPr>
        <w:t xml:space="preserve">This resistance arises from </w:t>
      </w:r>
      <w:r>
        <w:rPr>
          <w:rFonts w:hint="eastAsia"/>
          <w:lang w:eastAsia="zh-CN"/>
        </w:rPr>
        <w:t xml:space="preserve">complex </w:t>
      </w:r>
      <w:r>
        <w:rPr>
          <w:lang w:eastAsia="zh-CN"/>
        </w:rPr>
        <w:t>mechanisms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such as abnormal drug uptake, alter</w:t>
      </w:r>
      <w:r>
        <w:rPr>
          <w:rFonts w:hint="eastAsia"/>
          <w:lang w:eastAsia="zh-CN"/>
        </w:rPr>
        <w:t>ed</w:t>
      </w:r>
      <w:r>
        <w:rPr>
          <w:lang w:eastAsia="zh-CN"/>
        </w:rPr>
        <w:t xml:space="preserve"> drug targets, dysregulated cell cycles,</w:t>
      </w:r>
      <w:r>
        <w:rPr>
          <w:rFonts w:eastAsiaTheme="minorEastAsia" w:hint="eastAsia"/>
          <w:lang w:eastAsia="zh-CN"/>
        </w:rPr>
        <w:t xml:space="preserve"> </w:t>
      </w:r>
      <w:r>
        <w:rPr>
          <w:lang w:eastAsia="zh-CN"/>
        </w:rPr>
        <w:t xml:space="preserve">and enhanced DNA repair </w:t>
      </w:r>
      <w:r>
        <w:rPr>
          <w:rFonts w:eastAsiaTheme="minorEastAsia" w:hint="eastAsia"/>
          <w:lang w:eastAsia="zh-CN"/>
        </w:rPr>
        <w:t>[</w:t>
      </w:r>
      <w:r w:rsidR="00351137">
        <w:rPr>
          <w:rFonts w:eastAsiaTheme="minorEastAsia"/>
          <w:lang w:eastAsia="zh-CN"/>
        </w:rPr>
        <w:t>3</w:t>
      </w:r>
      <w:r>
        <w:rPr>
          <w:rFonts w:eastAsiaTheme="minorEastAsia" w:hint="eastAsia"/>
          <w:lang w:eastAsia="zh-CN"/>
        </w:rPr>
        <w:t>]</w:t>
      </w:r>
      <w:r>
        <w:rPr>
          <w:lang w:eastAsia="zh-CN"/>
        </w:rPr>
        <w:t>.</w:t>
      </w:r>
    </w:p>
    <w:p w14:paraId="2F05CE45" w14:textId="7910A1E5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lastRenderedPageBreak/>
        <w:t>MicroRNAs</w:t>
      </w:r>
      <w:r>
        <w:rPr>
          <w:rFonts w:eastAsiaTheme="minorEastAsia" w:hint="eastAsia"/>
          <w:lang w:eastAsia="zh-CN"/>
        </w:rPr>
        <w:t xml:space="preserve"> (miRNAs)</w:t>
      </w:r>
      <w:r>
        <w:rPr>
          <w:rFonts w:eastAsiaTheme="minorEastAsia"/>
          <w:lang w:eastAsia="zh-CN"/>
        </w:rPr>
        <w:t xml:space="preserve">, small non-coding RNAs </w:t>
      </w:r>
      <w:r>
        <w:rPr>
          <w:rFonts w:eastAsiaTheme="minorEastAsia" w:hint="eastAsia"/>
          <w:lang w:eastAsia="zh-CN"/>
        </w:rPr>
        <w:t xml:space="preserve">of approximately </w:t>
      </w:r>
      <w:r>
        <w:rPr>
          <w:rFonts w:eastAsiaTheme="minorEastAsia"/>
          <w:lang w:eastAsia="zh-CN"/>
        </w:rPr>
        <w:t>22 nucleotides,</w:t>
      </w:r>
      <w:r>
        <w:rPr>
          <w:rFonts w:eastAsiaTheme="minorEastAsia" w:hint="eastAsia"/>
          <w:lang w:eastAsia="zh-CN"/>
        </w:rPr>
        <w:t xml:space="preserve"> are pivotal </w:t>
      </w:r>
      <w:r>
        <w:rPr>
          <w:rFonts w:eastAsiaTheme="minorEastAsia"/>
          <w:lang w:eastAsia="zh-CN"/>
        </w:rPr>
        <w:t>post-transcriptional regulators in tumorigenesis and drug response.</w:t>
      </w:r>
      <w:r>
        <w:rPr>
          <w:rFonts w:eastAsiaTheme="minorEastAsia" w:hint="eastAsia"/>
          <w:lang w:eastAsia="zh-CN"/>
        </w:rPr>
        <w:t xml:space="preserve"> Increasing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e</w:t>
      </w:r>
      <w:r>
        <w:rPr>
          <w:rFonts w:eastAsiaTheme="minorEastAsia"/>
          <w:lang w:eastAsia="zh-CN"/>
        </w:rPr>
        <w:t>vidence s</w:t>
      </w:r>
      <w:r>
        <w:rPr>
          <w:rFonts w:eastAsiaTheme="minorEastAsia" w:hint="eastAsia"/>
          <w:lang w:eastAsia="zh-CN"/>
        </w:rPr>
        <w:t>hows that</w:t>
      </w:r>
      <w:r>
        <w:rPr>
          <w:rFonts w:eastAsiaTheme="minorEastAsia"/>
          <w:lang w:eastAsia="zh-CN"/>
        </w:rPr>
        <w:t xml:space="preserve"> miRNAs modulate drug resistance through drug transporter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regulation, DNA damage repair, apoptosis, EMT,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and metastasis-related </w:t>
      </w:r>
      <w:r>
        <w:rPr>
          <w:rFonts w:eastAsiaTheme="minorEastAsia" w:hint="eastAsia"/>
          <w:lang w:eastAsia="zh-CN"/>
        </w:rPr>
        <w:t>pathways [</w:t>
      </w:r>
      <w:r w:rsidR="00226D79">
        <w:rPr>
          <w:rFonts w:eastAsiaTheme="minorEastAsia"/>
          <w:lang w:eastAsia="zh-CN"/>
        </w:rPr>
        <w:t>4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D</w:t>
      </w:r>
      <w:r>
        <w:rPr>
          <w:rFonts w:eastAsiaTheme="minorEastAsia"/>
          <w:lang w:eastAsia="zh-CN"/>
        </w:rPr>
        <w:t>ysregulated miRNA expression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contributes to tumor progression,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while miRNA mimics and </w:t>
      </w:r>
      <w:proofErr w:type="spellStart"/>
      <w:r>
        <w:rPr>
          <w:rFonts w:eastAsiaTheme="minorEastAsia"/>
          <w:lang w:eastAsia="zh-CN"/>
        </w:rPr>
        <w:t>antagomiRs</w:t>
      </w:r>
      <w:proofErr w:type="spellEnd"/>
      <w:r>
        <w:rPr>
          <w:rFonts w:eastAsiaTheme="minorEastAsia"/>
          <w:lang w:eastAsia="zh-CN"/>
        </w:rPr>
        <w:t xml:space="preserve"> show therapeutic </w:t>
      </w:r>
      <w:r>
        <w:rPr>
          <w:rFonts w:eastAsiaTheme="minorEastAsia" w:hint="eastAsia"/>
          <w:lang w:eastAsia="zh-CN"/>
        </w:rPr>
        <w:t>potential [</w:t>
      </w:r>
      <w:r w:rsidR="00226D79">
        <w:rPr>
          <w:rFonts w:eastAsiaTheme="minorEastAsia"/>
          <w:lang w:eastAsia="zh-CN"/>
        </w:rPr>
        <w:t>5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m</w:t>
      </w:r>
      <w:r>
        <w:rPr>
          <w:rFonts w:eastAsiaTheme="minorEastAsia"/>
          <w:lang w:eastAsia="zh-CN"/>
        </w:rPr>
        <w:t>iRNAs can either promote or reverse chemoresistance</w:t>
      </w:r>
      <w:r>
        <w:rPr>
          <w:rFonts w:eastAsiaTheme="minorEastAsia" w:hint="eastAsia"/>
          <w:lang w:eastAsia="zh-CN"/>
        </w:rPr>
        <w:t>; f</w:t>
      </w:r>
      <w:r>
        <w:rPr>
          <w:rFonts w:eastAsiaTheme="minorEastAsia"/>
          <w:lang w:eastAsia="zh-CN"/>
        </w:rPr>
        <w:t xml:space="preserve">or </w:t>
      </w:r>
      <w:r>
        <w:rPr>
          <w:rFonts w:eastAsiaTheme="minorEastAsia" w:hint="eastAsia"/>
          <w:lang w:eastAsia="zh-CN"/>
        </w:rPr>
        <w:t>example</w:t>
      </w:r>
      <w:r>
        <w:rPr>
          <w:rFonts w:eastAsiaTheme="minorEastAsia"/>
          <w:lang w:eastAsia="zh-CN"/>
        </w:rPr>
        <w:t>, miR-20a enhances cisplatin resistance in gastric cancer by targeting CYLD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6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whereas miR-200c reverses multidrug resistance in breast cancer via MDR1 suppression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7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</w:p>
    <w:p w14:paraId="0CC705DC" w14:textId="093C7FB9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Although experimental approaches</w:t>
      </w:r>
      <w:r>
        <w:rPr>
          <w:rFonts w:eastAsiaTheme="minorEastAsia" w:hint="eastAsia"/>
          <w:lang w:eastAsia="zh-CN"/>
        </w:rPr>
        <w:t xml:space="preserve"> are </w:t>
      </w:r>
      <w:r>
        <w:rPr>
          <w:rFonts w:eastAsiaTheme="minorEastAsia"/>
          <w:lang w:eastAsia="zh-CN"/>
        </w:rPr>
        <w:t xml:space="preserve">essential </w:t>
      </w:r>
      <w:r>
        <w:rPr>
          <w:rFonts w:eastAsiaTheme="minorEastAsia" w:hint="eastAsia"/>
          <w:lang w:eastAsia="zh-CN"/>
        </w:rPr>
        <w:t xml:space="preserve">for </w:t>
      </w:r>
      <w:r>
        <w:rPr>
          <w:rFonts w:eastAsiaTheme="minorEastAsia"/>
          <w:lang w:eastAsia="zh-CN"/>
        </w:rPr>
        <w:t>characteriz</w:t>
      </w:r>
      <w:r>
        <w:rPr>
          <w:rFonts w:eastAsiaTheme="minorEastAsia" w:hint="eastAsia"/>
          <w:lang w:eastAsia="zh-CN"/>
        </w:rPr>
        <w:t>ing</w:t>
      </w:r>
      <w:r>
        <w:rPr>
          <w:rFonts w:eastAsiaTheme="minorEastAsia"/>
          <w:lang w:eastAsia="zh-CN"/>
        </w:rPr>
        <w:t xml:space="preserve"> miRNA-drug regulatory mechanisms,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they remain costly and </w:t>
      </w:r>
      <w:r>
        <w:rPr>
          <w:rFonts w:eastAsiaTheme="minorEastAsia" w:hint="eastAsia"/>
          <w:lang w:eastAsia="zh-CN"/>
        </w:rPr>
        <w:t>time</w:t>
      </w:r>
      <w:r>
        <w:rPr>
          <w:rFonts w:eastAsiaTheme="minorEastAsia"/>
          <w:lang w:eastAsia="zh-CN"/>
        </w:rPr>
        <w:t xml:space="preserve">-consuming for </w:t>
      </w:r>
      <w:r>
        <w:rPr>
          <w:rFonts w:eastAsiaTheme="minorEastAsia" w:hint="eastAsia"/>
          <w:lang w:eastAsia="zh-CN"/>
        </w:rPr>
        <w:t>large-scale</w:t>
      </w:r>
      <w:r>
        <w:rPr>
          <w:rFonts w:eastAsiaTheme="minorEastAsia"/>
          <w:lang w:eastAsia="zh-CN"/>
        </w:rPr>
        <w:t xml:space="preserve"> screening.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This </w:t>
      </w:r>
      <w:r>
        <w:rPr>
          <w:rFonts w:eastAsiaTheme="minorEastAsia" w:hint="eastAsia"/>
          <w:lang w:eastAsia="zh-CN"/>
        </w:rPr>
        <w:t xml:space="preserve">has spurred the development of </w:t>
      </w:r>
      <w:r>
        <w:rPr>
          <w:rFonts w:eastAsiaTheme="minorEastAsia"/>
          <w:lang w:eastAsia="zh-CN"/>
        </w:rPr>
        <w:t>miRNA-drug association resources</w:t>
      </w:r>
      <w:r>
        <w:rPr>
          <w:rFonts w:eastAsiaTheme="minorEastAsia" w:hint="eastAsia"/>
          <w:lang w:eastAsia="zh-CN"/>
        </w:rPr>
        <w:t xml:space="preserve"> for </w:t>
      </w:r>
      <w:r>
        <w:rPr>
          <w:rFonts w:eastAsiaTheme="minorEastAsia"/>
          <w:lang w:eastAsia="zh-CN"/>
        </w:rPr>
        <w:t xml:space="preserve">computational prioritization. Databases such as </w:t>
      </w:r>
      <w:proofErr w:type="spellStart"/>
      <w:r>
        <w:rPr>
          <w:rFonts w:eastAsiaTheme="minorEastAsia"/>
          <w:lang w:eastAsia="zh-CN"/>
        </w:rPr>
        <w:t>NoncoRNA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8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/>
          <w:lang w:eastAsia="zh-CN"/>
        </w:rPr>
        <w:t>ncRNADrug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9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, and ncDR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10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provide curated associations and support data-driven MDA prediction</w:t>
      </w:r>
      <w:r>
        <w:rPr>
          <w:rFonts w:eastAsiaTheme="minorEastAsia"/>
          <w:lang w:eastAsia="zh-CN"/>
        </w:rPr>
        <w:t>.</w:t>
      </w:r>
    </w:p>
    <w:p w14:paraId="4A3885C3" w14:textId="1630AE7C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Advances in high-throughput profiling and graph representation learning have </w:t>
      </w:r>
      <w:r>
        <w:rPr>
          <w:rFonts w:eastAsiaTheme="minorEastAsia"/>
          <w:lang w:eastAsia="zh-CN"/>
        </w:rPr>
        <w:t xml:space="preserve">promoted </w:t>
      </w:r>
      <w:r>
        <w:rPr>
          <w:rFonts w:eastAsiaTheme="minorEastAsia" w:hint="eastAsia"/>
          <w:lang w:eastAsia="zh-CN"/>
        </w:rPr>
        <w:t xml:space="preserve">the </w:t>
      </w:r>
      <w:r>
        <w:rPr>
          <w:rFonts w:eastAsiaTheme="minorEastAsia"/>
          <w:lang w:eastAsia="zh-CN"/>
        </w:rPr>
        <w:t xml:space="preserve">application of </w:t>
      </w:r>
      <w:r>
        <w:rPr>
          <w:rFonts w:eastAsiaTheme="minorEastAsia" w:hint="eastAsia"/>
          <w:lang w:eastAsia="zh-CN"/>
        </w:rPr>
        <w:t xml:space="preserve">graph neural networks (GNNs) </w:t>
      </w:r>
      <w:r>
        <w:rPr>
          <w:rFonts w:eastAsiaTheme="minorEastAsia"/>
          <w:lang w:eastAsia="zh-CN"/>
        </w:rPr>
        <w:t xml:space="preserve">in </w:t>
      </w:r>
      <w:r>
        <w:rPr>
          <w:rFonts w:eastAsiaTheme="minorEastAsia" w:hint="eastAsia"/>
          <w:lang w:eastAsia="zh-CN"/>
        </w:rPr>
        <w:t>biomolecular interaction prediction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[</w:t>
      </w:r>
      <w:r w:rsidR="00226D79">
        <w:rPr>
          <w:rFonts w:eastAsiaTheme="minorEastAsia"/>
          <w:lang w:eastAsia="zh-CN"/>
        </w:rPr>
        <w:t>11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Existing MDA </w:t>
      </w:r>
      <w:r>
        <w:rPr>
          <w:rFonts w:eastAsiaTheme="minorEastAsia" w:hint="eastAsia"/>
          <w:lang w:eastAsia="zh-CN"/>
        </w:rPr>
        <w:t>methods can be broadly categorized into three groups</w:t>
      </w:r>
      <w:r>
        <w:rPr>
          <w:rFonts w:eastAsiaTheme="minorEastAsia"/>
          <w:lang w:eastAsia="zh-CN"/>
        </w:rPr>
        <w:t xml:space="preserve">. The first </w:t>
      </w:r>
      <w:r>
        <w:rPr>
          <w:rFonts w:eastAsiaTheme="minorEastAsia" w:hint="eastAsia"/>
          <w:lang w:eastAsia="zh-CN"/>
        </w:rPr>
        <w:t>category</w:t>
      </w:r>
      <w:r>
        <w:rPr>
          <w:rFonts w:eastAsiaTheme="minorEastAsia"/>
          <w:lang w:eastAsia="zh-CN"/>
        </w:rPr>
        <w:t xml:space="preserve"> focuses on integrating sequence and structural data.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For example, DLST-MDA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12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fuses multi-scale CNNs with GCNs,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while NASMDR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13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uses </w:t>
      </w:r>
      <w:r>
        <w:rPr>
          <w:rFonts w:eastAsiaTheme="minorEastAsia"/>
          <w:lang w:eastAsia="zh-CN"/>
        </w:rPr>
        <w:t>GIN-based drug encoders and k-</w:t>
      </w:r>
      <w:proofErr w:type="spellStart"/>
      <w:r>
        <w:rPr>
          <w:rFonts w:eastAsiaTheme="minorEastAsia"/>
          <w:lang w:eastAsia="zh-CN"/>
        </w:rPr>
        <w:t>mer</w:t>
      </w:r>
      <w:proofErr w:type="spellEnd"/>
      <w:r>
        <w:rPr>
          <w:rFonts w:eastAsiaTheme="minorEastAsia"/>
          <w:lang w:eastAsia="zh-CN"/>
        </w:rPr>
        <w:t xml:space="preserve"> miRNA embeddings </w:t>
      </w:r>
      <w:r>
        <w:rPr>
          <w:rFonts w:eastAsiaTheme="minorEastAsia" w:hint="eastAsia"/>
          <w:lang w:eastAsia="zh-CN"/>
        </w:rPr>
        <w:t xml:space="preserve">optimized </w:t>
      </w:r>
      <w:r>
        <w:rPr>
          <w:rFonts w:eastAsiaTheme="minorEastAsia"/>
          <w:lang w:eastAsia="zh-CN"/>
        </w:rPr>
        <w:t>via neural architecture search.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The second emphasizes </w:t>
      </w:r>
      <w:r>
        <w:rPr>
          <w:rFonts w:eastAsiaTheme="minorEastAsia" w:hint="eastAsia"/>
          <w:lang w:eastAsia="zh-CN"/>
        </w:rPr>
        <w:t xml:space="preserve">GNN </w:t>
      </w:r>
      <w:r>
        <w:rPr>
          <w:rFonts w:eastAsiaTheme="minorEastAsia"/>
          <w:lang w:eastAsia="zh-CN"/>
        </w:rPr>
        <w:t>architecture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innovations</w:t>
      </w:r>
      <w:r>
        <w:rPr>
          <w:rFonts w:eastAsiaTheme="minorEastAsia" w:hint="eastAsia"/>
          <w:lang w:eastAsia="zh-CN"/>
        </w:rPr>
        <w:t>,</w:t>
      </w:r>
      <w:r>
        <w:rPr>
          <w:rFonts w:eastAsiaTheme="minorEastAsia"/>
          <w:lang w:eastAsia="zh-CN"/>
        </w:rPr>
        <w:t xml:space="preserve"> includ</w:t>
      </w:r>
      <w:r>
        <w:rPr>
          <w:rFonts w:eastAsiaTheme="minorEastAsia" w:hint="eastAsia"/>
          <w:lang w:eastAsia="zh-CN"/>
        </w:rPr>
        <w:t>ing</w:t>
      </w:r>
      <w:r>
        <w:rPr>
          <w:rFonts w:eastAsiaTheme="minorEastAsia"/>
          <w:lang w:eastAsia="zh-CN"/>
        </w:rPr>
        <w:t xml:space="preserve"> DMGAT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14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with diffusion-enhanced hybrid GCN-GAT modeling,</w:t>
      </w:r>
      <w:r>
        <w:rPr>
          <w:rFonts w:eastAsiaTheme="minorEastAsia" w:hint="eastAsia"/>
          <w:lang w:eastAsia="zh-CN"/>
        </w:rPr>
        <w:t xml:space="preserve"> </w:t>
      </w:r>
      <w:proofErr w:type="spellStart"/>
      <w:r>
        <w:rPr>
          <w:rFonts w:eastAsiaTheme="minorEastAsia"/>
          <w:lang w:eastAsia="zh-CN"/>
        </w:rPr>
        <w:t>DARSFormer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15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with spectral graph transformation and dynamic attention,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and </w:t>
      </w:r>
      <w:proofErr w:type="spellStart"/>
      <w:r>
        <w:rPr>
          <w:rFonts w:eastAsiaTheme="minorEastAsia"/>
          <w:lang w:eastAsia="zh-CN"/>
        </w:rPr>
        <w:t>GraphTGI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16</w:t>
      </w:r>
      <w:r>
        <w:rPr>
          <w:rFonts w:eastAsiaTheme="minorEastAsia"/>
          <w:lang w:eastAsia="zh-CN"/>
        </w:rPr>
        <w:t>] for heterogeneous regulatory networks via graph attention and bilinear decoders.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The third explores advanced learning paradigms, represented by SSLMCD</w:t>
      </w:r>
      <w:r>
        <w:rPr>
          <w:rFonts w:eastAsiaTheme="minorEastAsia" w:hint="eastAsia"/>
          <w:lang w:eastAsia="zh-CN"/>
        </w:rPr>
        <w:t xml:space="preserve"> [</w:t>
      </w:r>
      <w:r w:rsidR="00226D79">
        <w:rPr>
          <w:rFonts w:eastAsiaTheme="minorEastAsia"/>
          <w:lang w:eastAsia="zh-CN"/>
        </w:rPr>
        <w:t>17</w:t>
      </w:r>
      <w:r>
        <w:rPr>
          <w:rFonts w:eastAsiaTheme="minorEastAsia" w:hint="eastAsia"/>
          <w:lang w:eastAsia="zh-CN"/>
        </w:rPr>
        <w:t xml:space="preserve">], </w:t>
      </w:r>
      <w:r>
        <w:rPr>
          <w:rFonts w:eastAsiaTheme="minorEastAsia"/>
          <w:lang w:eastAsia="zh-CN"/>
        </w:rPr>
        <w:t>unif</w:t>
      </w:r>
      <w:r>
        <w:rPr>
          <w:rFonts w:eastAsiaTheme="minorEastAsia" w:hint="eastAsia"/>
          <w:lang w:eastAsia="zh-CN"/>
        </w:rPr>
        <w:t>ying</w:t>
      </w:r>
      <w:r>
        <w:rPr>
          <w:rFonts w:eastAsiaTheme="minorEastAsia"/>
          <w:lang w:eastAsia="zh-CN"/>
        </w:rPr>
        <w:t xml:space="preserve"> attribute and topological graphs through self-supervised contrastive learning and multi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>view attention for multi-task ncRNA association prediction.</w:t>
      </w:r>
    </w:p>
    <w:p w14:paraId="7570768F" w14:textId="0D6A0539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Despite this progress, existing methods </w:t>
      </w:r>
      <w:r>
        <w:rPr>
          <w:rFonts w:eastAsiaTheme="minorEastAsia" w:hint="eastAsia"/>
          <w:lang w:eastAsia="zh-CN"/>
        </w:rPr>
        <w:t xml:space="preserve">still </w:t>
      </w:r>
      <w:r>
        <w:rPr>
          <w:rFonts w:eastAsiaTheme="minorEastAsia"/>
          <w:lang w:eastAsia="zh-CN"/>
        </w:rPr>
        <w:t>face several limitations.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First, known MDA </w:t>
      </w:r>
      <w:r>
        <w:rPr>
          <w:rFonts w:eastAsiaTheme="minorEastAsia" w:hint="eastAsia"/>
          <w:lang w:eastAsia="zh-CN"/>
        </w:rPr>
        <w:t xml:space="preserve">associations </w:t>
      </w:r>
      <w:r>
        <w:rPr>
          <w:rFonts w:eastAsiaTheme="minorEastAsia"/>
          <w:lang w:eastAsia="zh-CN"/>
        </w:rPr>
        <w:t xml:space="preserve">are sparse, </w:t>
      </w:r>
      <w:r>
        <w:rPr>
          <w:rFonts w:eastAsiaTheme="minorEastAsia" w:hint="eastAsia"/>
          <w:lang w:eastAsia="zh-CN"/>
        </w:rPr>
        <w:t>producing</w:t>
      </w:r>
      <w:r>
        <w:rPr>
          <w:rFonts w:eastAsiaTheme="minorEastAsia"/>
          <w:lang w:eastAsia="zh-CN"/>
        </w:rPr>
        <w:t xml:space="preserve"> incomplete and noisy bipartite graphs. Second, miRNA-drug relationships are mediated by complex gene regulatory mechanisms that </w:t>
      </w:r>
      <w:r>
        <w:rPr>
          <w:rFonts w:eastAsiaTheme="minorEastAsia" w:hint="eastAsia"/>
          <w:lang w:eastAsia="zh-CN"/>
        </w:rPr>
        <w:t>requir</w:t>
      </w:r>
      <w:r>
        <w:rPr>
          <w:rFonts w:eastAsiaTheme="minorEastAsia"/>
          <w:lang w:eastAsia="zh-CN"/>
        </w:rPr>
        <w:t>e</w:t>
      </w:r>
      <w:r>
        <w:rPr>
          <w:rFonts w:eastAsiaTheme="minorEastAsia" w:hint="eastAsia"/>
          <w:lang w:eastAsia="zh-CN"/>
        </w:rPr>
        <w:t xml:space="preserve"> multi-source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biological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knowledge.</w:t>
      </w:r>
      <w:r>
        <w:rPr>
          <w:rFonts w:eastAsiaTheme="minorEastAsia"/>
          <w:lang w:eastAsia="zh-CN"/>
        </w:rPr>
        <w:t xml:space="preserve"> Third, although different biological modalities capture complementary macro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 xml:space="preserve"> and micro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>level</w:t>
      </w:r>
      <w:r>
        <w:rPr>
          <w:rFonts w:eastAsiaTheme="minorEastAsia" w:hint="eastAsia"/>
          <w:lang w:eastAsia="zh-CN"/>
        </w:rPr>
        <w:t xml:space="preserve"> information</w:t>
      </w:r>
      <w:r>
        <w:rPr>
          <w:rFonts w:eastAsiaTheme="minorEastAsia"/>
          <w:lang w:eastAsia="zh-CN"/>
        </w:rPr>
        <w:t>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many models still lack effective fusion and cross-modal alignment </w:t>
      </w:r>
      <w:r>
        <w:rPr>
          <w:rFonts w:eastAsiaTheme="minorEastAsia" w:hint="eastAsia"/>
          <w:lang w:eastAsia="zh-CN"/>
        </w:rPr>
        <w:t>[</w:t>
      </w:r>
      <w:r w:rsidR="00226D79">
        <w:rPr>
          <w:rFonts w:eastAsiaTheme="minorEastAsia"/>
          <w:lang w:eastAsia="zh-CN"/>
        </w:rPr>
        <w:t>18</w:t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</w:p>
    <w:p w14:paraId="76813B4A" w14:textId="77777777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To address these challenges, we propose </w:t>
      </w:r>
      <w:r>
        <w:rPr>
          <w:rFonts w:eastAsiaTheme="minorEastAsia" w:hint="eastAsia"/>
          <w:lang w:eastAsia="zh-CN"/>
        </w:rPr>
        <w:t>GCFH</w:t>
      </w:r>
      <w:r>
        <w:rPr>
          <w:rFonts w:eastAsiaTheme="minorEastAsia"/>
          <w:lang w:eastAsia="zh-CN"/>
        </w:rPr>
        <w:t xml:space="preserve">-MDA, </w:t>
      </w:r>
      <w:r>
        <w:rPr>
          <w:rFonts w:eastAsiaTheme="minorEastAsia" w:hint="eastAsia"/>
          <w:lang w:eastAsia="zh-CN"/>
        </w:rPr>
        <w:t>a graph collaborative filtering framework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integrat</w:t>
      </w:r>
      <w:r>
        <w:rPr>
          <w:rFonts w:eastAsiaTheme="minorEastAsia"/>
          <w:lang w:eastAsia="zh-CN"/>
        </w:rPr>
        <w:t>ing</w:t>
      </w:r>
      <w:r>
        <w:rPr>
          <w:rFonts w:eastAsiaTheme="minorEastAsia" w:hint="eastAsia"/>
          <w:lang w:eastAsia="zh-CN"/>
        </w:rPr>
        <w:t xml:space="preserve"> heterogeneous biological data </w:t>
      </w:r>
      <w:r>
        <w:rPr>
          <w:rFonts w:eastAsiaTheme="minorEastAsia"/>
          <w:lang w:eastAsia="zh-CN"/>
        </w:rPr>
        <w:t xml:space="preserve">with </w:t>
      </w:r>
      <w:r>
        <w:rPr>
          <w:rFonts w:eastAsiaTheme="minorEastAsia" w:hint="eastAsia"/>
          <w:lang w:eastAsia="zh-CN"/>
        </w:rPr>
        <w:t>contrastive learning for intra-view alignment. Specifically, our contributions are</w:t>
      </w:r>
      <w:r>
        <w:rPr>
          <w:rFonts w:eastAsiaTheme="minorEastAsia"/>
          <w:lang w:eastAsia="zh-CN"/>
        </w:rPr>
        <w:t>:</w:t>
      </w:r>
    </w:p>
    <w:p w14:paraId="56CC8316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We formulate miRNA-drug association prediction as a prior-guided graph collaborative filtering problem, enabling modeling of both direct and high-order interaction patterns within a unified framework.</w:t>
      </w:r>
    </w:p>
    <w:p w14:paraId="7ECDD0E9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We propose a dual-view hypergraph augmentation strategy that integrates regulatory and embedding information at both local and global scales, providing complementary structural and attribute-level representations.</w:t>
      </w:r>
    </w:p>
    <w:p w14:paraId="38D46664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We introduce a geodesic feature refinement mechanism with hub-aware penalties to emphasize biologically meaningful paths and alleviate bias introduced by high-degree nodes.</w:t>
      </w:r>
    </w:p>
    <w:p w14:paraId="4768EBF6" w14:textId="77777777" w:rsidR="003B7FE1" w:rsidRDefault="00EF0798">
      <w:pPr>
        <w:pStyle w:val="heading1"/>
        <w:rPr>
          <w:rFonts w:eastAsia="宋体"/>
          <w:lang w:eastAsia="zh-CN"/>
        </w:rPr>
      </w:pPr>
      <w:r>
        <w:rPr>
          <w:rFonts w:eastAsia="宋体"/>
          <w:lang w:eastAsia="zh-CN"/>
        </w:rPr>
        <w:t>Material and Methods</w:t>
      </w:r>
    </w:p>
    <w:p w14:paraId="1F3109D8" w14:textId="77777777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This section </w:t>
      </w:r>
      <w:r>
        <w:rPr>
          <w:rFonts w:eastAsia="宋体" w:hint="eastAsia"/>
          <w:lang w:eastAsia="zh-CN"/>
        </w:rPr>
        <w:t>out</w:t>
      </w:r>
      <w:r>
        <w:rPr>
          <w:rFonts w:eastAsia="宋体"/>
          <w:lang w:eastAsia="zh-CN"/>
        </w:rPr>
        <w:t xml:space="preserve">lines the data preparation and </w:t>
      </w:r>
      <w:r>
        <w:rPr>
          <w:rFonts w:eastAsia="宋体" w:hint="eastAsia"/>
          <w:lang w:eastAsia="zh-CN"/>
        </w:rPr>
        <w:t>GCFH</w:t>
      </w:r>
      <w:r>
        <w:rPr>
          <w:rFonts w:eastAsia="宋体"/>
          <w:lang w:eastAsia="zh-CN"/>
        </w:rPr>
        <w:t xml:space="preserve">-MDA </w:t>
      </w:r>
      <w:r>
        <w:rPr>
          <w:rFonts w:eastAsia="宋体" w:hint="eastAsia"/>
          <w:lang w:eastAsia="zh-CN"/>
        </w:rPr>
        <w:t>architecture</w:t>
      </w:r>
      <w:r>
        <w:rPr>
          <w:rFonts w:eastAsia="宋体"/>
          <w:lang w:eastAsia="zh-CN"/>
        </w:rPr>
        <w:t xml:space="preserve"> (Fi</w:t>
      </w:r>
      <w:r>
        <w:rPr>
          <w:rFonts w:eastAsia="宋体" w:hint="eastAsia"/>
          <w:lang w:eastAsia="zh-CN"/>
        </w:rPr>
        <w:t>g. 1</w:t>
      </w:r>
      <w:r>
        <w:rPr>
          <w:rFonts w:eastAsia="宋体"/>
          <w:lang w:eastAsia="zh-CN"/>
        </w:rPr>
        <w:t>).</w:t>
      </w:r>
    </w:p>
    <w:p w14:paraId="37537644" w14:textId="77777777" w:rsidR="003B7FE1" w:rsidRDefault="00EF0798">
      <w:pPr>
        <w:ind w:firstLine="0"/>
        <w:jc w:val="center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inline distT="0" distB="0" distL="114300" distR="114300" wp14:anchorId="298548F9" wp14:editId="794D43AF">
            <wp:extent cx="4590415" cy="2498090"/>
            <wp:effectExtent l="0" t="0" r="6985" b="16510"/>
            <wp:docPr id="6" name="图片 6" descr="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ramewor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DD88" w14:textId="77777777" w:rsidR="003B7FE1" w:rsidRDefault="00EF0798">
      <w:pPr>
        <w:pStyle w:val="figurecaption"/>
        <w:jc w:val="both"/>
        <w:rPr>
          <w:rFonts w:eastAsiaTheme="minorEastAsia"/>
          <w:lang w:eastAsia="zh-CN"/>
        </w:rPr>
      </w:pPr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t xml:space="preserve"> </w:t>
      </w:r>
      <w:r>
        <w:rPr>
          <w:rFonts w:hint="eastAsia"/>
        </w:rPr>
        <w:t>Overview of GCFH-MDA.</w:t>
      </w:r>
    </w:p>
    <w:p w14:paraId="74FB612D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/>
          <w:lang w:eastAsia="zh-CN"/>
        </w:rPr>
        <w:t>Human miRNA-Drug Association Dataset</w:t>
      </w:r>
    </w:p>
    <w:p w14:paraId="6ACBF315" w14:textId="5952581A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/>
          <w:lang w:eastAsia="zh-CN"/>
        </w:rPr>
        <w:t>The benchmark was curated by Sheng et al.</w:t>
      </w:r>
      <w:r>
        <w:rPr>
          <w:rFonts w:eastAsia="宋体" w:hint="eastAsia"/>
          <w:lang w:eastAsia="zh-CN"/>
        </w:rPr>
        <w:t xml:space="preserve"> [</w:t>
      </w:r>
      <w:r w:rsidR="00226D79">
        <w:rPr>
          <w:rFonts w:eastAsia="宋体"/>
          <w:lang w:eastAsia="zh-CN"/>
        </w:rPr>
        <w:t>18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from </w:t>
      </w:r>
      <w:proofErr w:type="spellStart"/>
      <w:r>
        <w:rPr>
          <w:rFonts w:eastAsia="宋体"/>
          <w:lang w:eastAsia="zh-CN"/>
        </w:rPr>
        <w:t>ncRNADrug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[</w:t>
      </w:r>
      <w:r w:rsidR="00226D79">
        <w:rPr>
          <w:rFonts w:eastAsia="宋体"/>
          <w:lang w:eastAsia="zh-CN"/>
        </w:rPr>
        <w:t>9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, </w:t>
      </w:r>
      <w:r>
        <w:rPr>
          <w:rFonts w:eastAsia="宋体" w:hint="eastAsia"/>
          <w:lang w:eastAsia="zh-CN"/>
        </w:rPr>
        <w:t xml:space="preserve">excluding </w:t>
      </w:r>
      <w:r>
        <w:rPr>
          <w:rFonts w:eastAsia="宋体"/>
          <w:lang w:eastAsia="zh-CN"/>
        </w:rPr>
        <w:t xml:space="preserve">deprecated </w:t>
      </w:r>
      <w:r>
        <w:rPr>
          <w:rFonts w:eastAsia="宋体" w:hint="eastAsia"/>
          <w:lang w:eastAsia="zh-CN"/>
        </w:rPr>
        <w:t>m</w:t>
      </w:r>
      <w:r>
        <w:rPr>
          <w:rFonts w:eastAsia="宋体"/>
          <w:lang w:eastAsia="zh-CN"/>
        </w:rPr>
        <w:t xml:space="preserve">iRNAs in </w:t>
      </w:r>
      <w:proofErr w:type="spellStart"/>
      <w:r>
        <w:rPr>
          <w:rFonts w:eastAsia="宋体"/>
          <w:lang w:eastAsia="zh-CN"/>
        </w:rPr>
        <w:t>miRBase</w:t>
      </w:r>
      <w:proofErr w:type="spellEnd"/>
      <w:r>
        <w:rPr>
          <w:rFonts w:eastAsia="宋体"/>
          <w:lang w:eastAsia="zh-CN"/>
        </w:rPr>
        <w:t xml:space="preserve"> v22</w:t>
      </w:r>
      <w:r>
        <w:rPr>
          <w:rFonts w:eastAsia="宋体" w:hint="eastAsia"/>
          <w:lang w:eastAsia="zh-CN"/>
        </w:rPr>
        <w:t xml:space="preserve"> [</w:t>
      </w:r>
      <w:r w:rsidR="00226D79">
        <w:rPr>
          <w:rFonts w:eastAsia="宋体"/>
          <w:lang w:eastAsia="zh-CN"/>
        </w:rPr>
        <w:t>19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and drugs with ambiguous </w:t>
      </w:r>
      <w:proofErr w:type="spellStart"/>
      <w:r>
        <w:rPr>
          <w:rFonts w:eastAsia="宋体"/>
          <w:lang w:eastAsia="zh-CN"/>
        </w:rPr>
        <w:t>DrugBank</w:t>
      </w:r>
      <w:proofErr w:type="spellEnd"/>
      <w:r>
        <w:rPr>
          <w:rFonts w:eastAsia="宋体"/>
          <w:lang w:eastAsia="zh-CN"/>
        </w:rPr>
        <w:t xml:space="preserve"> v5.1.12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annotations </w:t>
      </w:r>
      <w:r>
        <w:rPr>
          <w:rFonts w:eastAsia="宋体" w:hint="eastAsia"/>
          <w:lang w:eastAsia="zh-CN"/>
        </w:rPr>
        <w:t>[</w:t>
      </w:r>
      <w:r w:rsidR="00226D79">
        <w:rPr>
          <w:rFonts w:eastAsia="宋体"/>
          <w:lang w:eastAsia="zh-CN"/>
        </w:rPr>
        <w:t>20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. Mature miRNA sequences and drug SMILES were retrieved. The final dataset </w:t>
      </w:r>
      <w:r>
        <w:rPr>
          <w:rFonts w:eastAsia="宋体" w:hint="eastAsia"/>
          <w:lang w:eastAsia="zh-CN"/>
        </w:rPr>
        <w:t xml:space="preserve">includes </w:t>
      </w:r>
      <w:r>
        <w:rPr>
          <w:rFonts w:eastAsia="宋体"/>
          <w:lang w:eastAsia="zh-CN"/>
        </w:rPr>
        <w:t xml:space="preserve">8,720 validated associations between 1,578 miRNAs and 156 drugs. Additionally, miRNA-target and drug-target gene interactions were </w:t>
      </w:r>
      <w:r>
        <w:rPr>
          <w:rFonts w:eastAsia="宋体" w:hint="eastAsia"/>
          <w:lang w:eastAsia="zh-CN"/>
        </w:rPr>
        <w:t xml:space="preserve">obtained </w:t>
      </w:r>
      <w:r>
        <w:rPr>
          <w:rFonts w:eastAsia="宋体"/>
          <w:lang w:eastAsia="zh-CN"/>
        </w:rPr>
        <w:t>from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Sheng et al., encompassing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14,456 high-confidence interactions validated </w:t>
      </w:r>
      <w:r>
        <w:rPr>
          <w:rFonts w:eastAsia="宋体" w:hint="eastAsia"/>
          <w:lang w:eastAsia="zh-CN"/>
        </w:rPr>
        <w:t>in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miRTarBase</w:t>
      </w:r>
      <w:proofErr w:type="spellEnd"/>
      <w:r>
        <w:rPr>
          <w:rFonts w:eastAsia="宋体" w:hint="eastAsia"/>
          <w:lang w:eastAsia="zh-CN"/>
        </w:rPr>
        <w:t xml:space="preserve"> [</w:t>
      </w:r>
      <w:r w:rsidR="00226D79">
        <w:rPr>
          <w:rFonts w:eastAsia="宋体"/>
          <w:lang w:eastAsia="zh-CN"/>
        </w:rPr>
        <w:t>21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and the Comparative </w:t>
      </w:r>
      <w:proofErr w:type="spellStart"/>
      <w:r>
        <w:rPr>
          <w:rFonts w:eastAsia="宋体"/>
          <w:lang w:eastAsia="zh-CN"/>
        </w:rPr>
        <w:t>Toxicogenomics</w:t>
      </w:r>
      <w:proofErr w:type="spellEnd"/>
      <w:r>
        <w:rPr>
          <w:rFonts w:eastAsia="宋体"/>
          <w:lang w:eastAsia="zh-CN"/>
        </w:rPr>
        <w:t xml:space="preserve"> Database (CTD)</w:t>
      </w:r>
      <w:r>
        <w:rPr>
          <w:rFonts w:eastAsia="宋体" w:hint="eastAsia"/>
          <w:lang w:eastAsia="zh-CN"/>
        </w:rPr>
        <w:t xml:space="preserve"> [</w:t>
      </w:r>
      <w:r w:rsidR="00226D79">
        <w:rPr>
          <w:rFonts w:eastAsia="宋体"/>
          <w:lang w:eastAsia="zh-CN"/>
        </w:rPr>
        <w:t>22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. </w:t>
      </w:r>
    </w:p>
    <w:p w14:paraId="2D3950A9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/>
          <w:lang w:eastAsia="zh-CN"/>
        </w:rPr>
        <w:t>Multimodal Node Attributes</w:t>
      </w:r>
    </w:p>
    <w:p w14:paraId="0AD829C1" w14:textId="221B39AB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</w:t>
      </w:r>
      <w:r>
        <w:rPr>
          <w:rFonts w:eastAsia="宋体"/>
          <w:lang w:eastAsia="zh-CN"/>
        </w:rPr>
        <w:t>iRNA and drug</w:t>
      </w:r>
      <w:r>
        <w:rPr>
          <w:rFonts w:eastAsia="宋体" w:hint="eastAsia"/>
          <w:lang w:eastAsia="zh-CN"/>
        </w:rPr>
        <w:t xml:space="preserve"> features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are</w:t>
      </w:r>
      <w:r>
        <w:rPr>
          <w:rFonts w:eastAsia="宋体"/>
          <w:lang w:eastAsia="zh-CN"/>
        </w:rPr>
        <w:t xml:space="preserve"> encoded by mapping sequence and structural information into a </w:t>
      </w:r>
      <w:r>
        <w:rPr>
          <w:rFonts w:eastAsia="宋体" w:hint="eastAsia"/>
          <w:lang w:eastAsia="zh-CN"/>
        </w:rPr>
        <w:t xml:space="preserve">shared </w:t>
      </w:r>
      <m:oMath>
        <m:r>
          <w:rPr>
            <w:rFonts w:ascii="Cambria Math" w:eastAsia="宋体" w:hAnsi="Cambria Math"/>
          </w:rPr>
          <m:t>d</m:t>
        </m:r>
      </m:oMath>
      <w:r>
        <w:rPr>
          <w:rFonts w:eastAsia="宋体"/>
          <w:lang w:eastAsia="zh-CN"/>
        </w:rPr>
        <w:t xml:space="preserve">-dimensional space. MiRNA sequences are </w:t>
      </w:r>
      <w:r>
        <w:rPr>
          <w:rFonts w:eastAsia="宋体" w:hint="eastAsia"/>
          <w:lang w:eastAsia="zh-CN"/>
        </w:rPr>
        <w:t xml:space="preserve">represented </w:t>
      </w:r>
      <w:r>
        <w:rPr>
          <w:rFonts w:eastAsia="宋体"/>
          <w:lang w:eastAsia="zh-CN"/>
        </w:rPr>
        <w:t>as normalized 3-mer frequency vectors</w:t>
      </w:r>
      <w:r>
        <w:rPr>
          <w:rFonts w:eastAsia="宋体" w:hint="eastAsia"/>
          <w:lang w:eastAsia="zh-CN"/>
        </w:rPr>
        <w:t xml:space="preserve"> [</w:t>
      </w:r>
      <w:r w:rsidR="0016118C">
        <w:rPr>
          <w:rFonts w:eastAsia="宋体"/>
          <w:lang w:eastAsia="zh-CN"/>
        </w:rPr>
        <w:t>23</w:t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>,</w:t>
      </w:r>
      <w:r>
        <w:rPr>
          <w:rFonts w:eastAsia="宋体" w:hint="eastAsia"/>
          <w:lang w:eastAsia="zh-CN"/>
        </w:rPr>
        <w:t xml:space="preserve"> with </w:t>
      </w:r>
      <w:r>
        <w:rPr>
          <w:rFonts w:eastAsia="宋体"/>
          <w:lang w:eastAsia="zh-CN"/>
        </w:rPr>
        <w:t>cosine similarit</w:t>
      </w:r>
      <w:r>
        <w:rPr>
          <w:rFonts w:eastAsia="宋体" w:hint="eastAsia"/>
          <w:lang w:eastAsia="zh-CN"/>
        </w:rPr>
        <w:t>y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forming</w:t>
      </w:r>
      <w:r>
        <w:rPr>
          <w:rFonts w:eastAsia="宋体"/>
          <w:lang w:eastAsia="zh-CN"/>
        </w:rPr>
        <w:t xml:space="preserve"> the miRNA </w:t>
      </w:r>
      <w:r>
        <w:rPr>
          <w:rFonts w:eastAsia="宋体" w:hint="eastAsia"/>
          <w:lang w:eastAsia="zh-CN"/>
        </w:rPr>
        <w:t>similarity</w:t>
      </w:r>
      <w:r>
        <w:rPr>
          <w:rFonts w:eastAsia="宋体"/>
          <w:lang w:eastAsia="zh-CN"/>
        </w:rPr>
        <w:t xml:space="preserve"> matrix </w:t>
      </w:r>
      <m:oMath>
        <m:sSub>
          <m:sSubPr>
            <m:ctrlPr>
              <w:rPr>
                <w:rFonts w:ascii="Cambria Math" w:eastAsia="宋体" w:hAnsi="Cambria Math"/>
                <w:i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lang w:eastAsia="zh-CN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lang w:eastAsia="zh-C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eastAsia="宋体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hint="eastAsia"/>
                <w:lang w:eastAsia="zh-CN"/>
              </w:rPr>
              <m:t>×</m:t>
            </m:r>
            <m:sSub>
              <m:sSubPr>
                <m:ctrlPr>
                  <w:rPr>
                    <w:rFonts w:ascii="Cambria Math" w:eastAsia="宋体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N</m:t>
                </m:r>
                <m:ctrlPr>
                  <w:rPr>
                    <w:rFonts w:ascii="Cambria Math" w:eastAsia="宋体" w:hAnsi="Cambria Math"/>
                    <w:lang w:eastAsia="zh-CN"/>
                  </w:rPr>
                </m:ctrlP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m</m:t>
                </m:r>
              </m:sub>
            </m:sSub>
          </m:sup>
        </m:sSup>
      </m:oMath>
      <w:r>
        <w:rPr>
          <w:rFonts w:eastAsia="宋体"/>
          <w:lang w:eastAsia="zh-CN"/>
        </w:rPr>
        <w:t>,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Ansi="Cambria Math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is the number of miRNAs. </w:t>
      </w:r>
      <w:r>
        <w:rPr>
          <w:rFonts w:eastAsia="宋体" w:hint="eastAsia"/>
          <w:lang w:eastAsia="zh-CN"/>
        </w:rPr>
        <w:t>Drugs are encoded with Morgan fingerprints [</w:t>
      </w:r>
      <w:r w:rsidR="0016118C">
        <w:rPr>
          <w:rFonts w:eastAsia="宋体"/>
          <w:lang w:eastAsia="zh-CN"/>
        </w:rPr>
        <w:t>24</w:t>
      </w:r>
      <w:r>
        <w:rPr>
          <w:rFonts w:eastAsia="宋体" w:hint="eastAsia"/>
          <w:lang w:eastAsia="zh-CN"/>
        </w:rPr>
        <w:t xml:space="preserve">] from SMILES, and </w:t>
      </w:r>
      <w:proofErr w:type="spellStart"/>
      <w:r>
        <w:rPr>
          <w:rFonts w:eastAsia="宋体" w:hint="eastAsia"/>
          <w:lang w:eastAsia="zh-CN"/>
        </w:rPr>
        <w:t>Tanimoto</w:t>
      </w:r>
      <w:proofErr w:type="spellEnd"/>
      <w:r>
        <w:rPr>
          <w:rFonts w:eastAsia="宋体" w:hint="eastAsia"/>
          <w:lang w:eastAsia="zh-CN"/>
        </w:rPr>
        <w:t xml:space="preserve"> similarity constructs the drug structural similarity matrix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  <m:r>
          <w:rPr>
            <w:rFonts w:ascii="Cambria Math" w:eastAsia="宋体" w:hAnsi="Cambria Math"/>
          </w:rPr>
          <m:t>∈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×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</w:rPr>
                  <m:t>d</m:t>
                </m:r>
              </m:sub>
            </m:sSub>
          </m:sup>
        </m:sSup>
      </m:oMath>
      <w:r>
        <w:rPr>
          <w:rFonts w:eastAsia="宋体" w:hint="eastAsia"/>
          <w:lang w:eastAsia="zh-CN"/>
        </w:rPr>
        <w:t xml:space="preserve">, 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is the number of drugs.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 xml:space="preserve">Rows </w:t>
      </w:r>
      <w:r>
        <w:rPr>
          <w:rFonts w:eastAsia="宋体" w:hint="eastAsia"/>
          <w:lang w:eastAsia="zh-CN"/>
        </w:rPr>
        <w:lastRenderedPageBreak/>
        <w:t xml:space="preserve">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are used </w:t>
      </w:r>
      <w:r>
        <w:rPr>
          <w:rFonts w:eastAsia="宋体" w:hint="eastAsia"/>
          <w:lang w:eastAsia="zh-CN"/>
        </w:rPr>
        <w:t>as initial node feature</w:t>
      </w:r>
      <w:r>
        <w:rPr>
          <w:rFonts w:eastAsia="宋体"/>
          <w:lang w:eastAsia="zh-CN"/>
        </w:rPr>
        <w:t xml:space="preserve">s </w:t>
      </w:r>
      <w:proofErr w:type="gramStart"/>
      <w:r>
        <w:rPr>
          <w:rFonts w:eastAsia="宋体"/>
          <w:lang w:eastAsia="zh-CN"/>
        </w:rPr>
        <w:t>and</w:t>
      </w:r>
      <w:r>
        <w:rPr>
          <w:rFonts w:eastAsia="宋体" w:hint="eastAsia"/>
          <w:lang w:eastAsia="zh-CN"/>
        </w:rPr>
        <w:t xml:space="preserve">  </w:t>
      </w:r>
      <w:r>
        <w:rPr>
          <w:rFonts w:eastAsia="宋体"/>
          <w:lang w:eastAsia="zh-CN"/>
        </w:rPr>
        <w:t>l</w:t>
      </w:r>
      <w:r>
        <w:rPr>
          <w:rFonts w:eastAsia="宋体" w:hint="eastAsia"/>
          <w:lang w:eastAsia="zh-CN"/>
        </w:rPr>
        <w:t>earnable</w:t>
      </w:r>
      <w:proofErr w:type="gramEnd"/>
      <w:r>
        <w:rPr>
          <w:rFonts w:eastAsia="宋体" w:hint="eastAsia"/>
          <w:lang w:eastAsia="zh-CN"/>
        </w:rPr>
        <w:t xml:space="preserve"> transformations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project them into a shared latent space:</w:t>
      </w:r>
    </w:p>
    <w:p w14:paraId="21C69A18" w14:textId="77777777" w:rsidR="003B7FE1" w:rsidRDefault="00EF0798">
      <w:pPr>
        <w:pStyle w:val="equation"/>
      </w:pPr>
      <w:r>
        <w:rPr>
          <w:i/>
        </w:rPr>
        <w:tab/>
      </w:r>
      <m:oMath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⋅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  <m:r>
          <w:rPr>
            <w:rFonts w:ascii="DejaVu Math TeX Gyre" w:eastAsia="宋体" w:hAnsi="DejaVu Math TeX Gyre"/>
          </w:rPr>
          <m:t>,</m:t>
        </m:r>
        <m:r>
          <w:rPr>
            <w:rFonts w:ascii="Cambria Math" w:eastAsia="宋体" w:hAnsi="Cambria Math"/>
            <w:i/>
          </w:rPr>
          <m:t> 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  <m:sup>
            <m:r>
              <w:rPr>
                <w:rFonts w:ascii="Cambria Math" w:eastAsia="宋体" w:hAnsi="Cambria Math"/>
              </w:rPr>
              <m:t>j</m:t>
            </m:r>
          </m:sup>
        </m:sSub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  <m:sup>
            <m:r>
              <w:rPr>
                <w:rFonts w:ascii="Cambria Math" w:eastAsia="宋体" w:hAnsi="Cambria Math"/>
              </w:rPr>
              <m:t>j</m:t>
            </m:r>
          </m:sup>
        </m:sSubSup>
        <m:r>
          <w:rPr>
            <w:rFonts w:ascii="Cambria Math" w:eastAsia="宋体" w:hAnsi="Cambria Math"/>
          </w:rPr>
          <m:t>⋅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>.</w:t>
      </w:r>
      <w:r>
        <w:tab/>
        <w:t>(</w:t>
      </w:r>
      <w:r w:rsidR="008A3050">
        <w:fldChar w:fldCharType="begin"/>
      </w:r>
      <w:r w:rsidR="008A3050">
        <w:instrText xml:space="preserve"> SEQ "Equation" \n \* MERGEFORMAT </w:instrText>
      </w:r>
      <w:r w:rsidR="008A3050">
        <w:fldChar w:fldCharType="separate"/>
      </w:r>
      <w:r>
        <w:t>1</w:t>
      </w:r>
      <w:r w:rsidR="008A3050">
        <w:fldChar w:fldCharType="end"/>
      </w:r>
      <w:r>
        <w:t>)</w:t>
      </w:r>
    </w:p>
    <w:p w14:paraId="5B126169" w14:textId="77777777" w:rsidR="003B7FE1" w:rsidRDefault="00EF0798">
      <w:pPr>
        <w:pStyle w:val="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m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i</m:t>
            </m:r>
          </m:sup>
        </m:sSubSup>
      </m:oMath>
      <w:r>
        <w:rPr>
          <w:rFonts w:eastAsia="宋体" w:hint="eastAsia"/>
          <w:lang w:eastAsia="zh-CN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j</m:t>
            </m:r>
          </m:sup>
        </m:sSubSup>
      </m:oMath>
      <w:r>
        <w:rPr>
          <w:rFonts w:eastAsia="宋体" w:hint="eastAsia"/>
          <w:lang w:eastAsia="zh-CN"/>
        </w:rPr>
        <w:t xml:space="preserve"> denote the </w:t>
      </w:r>
      <m:oMath>
        <m:r>
          <w:rPr>
            <w:rFonts w:ascii="Cambria Math" w:eastAsia="宋体" w:hAnsi="Cambria Math"/>
            <w:lang w:eastAsia="zh-CN"/>
          </w:rPr>
          <m:t>i</m:t>
        </m:r>
      </m:oMath>
      <w:r>
        <w:rPr>
          <w:rFonts w:eastAsia="宋体" w:hint="eastAsia"/>
          <w:lang w:eastAsia="zh-CN"/>
        </w:rPr>
        <w:t xml:space="preserve">-th and </w:t>
      </w:r>
      <m:oMath>
        <m:r>
          <w:rPr>
            <w:rFonts w:ascii="Cambria Math" w:eastAsia="宋体" w:hAnsi="Cambria Math"/>
            <w:lang w:eastAsia="zh-CN"/>
          </w:rPr>
          <m:t>j</m:t>
        </m:r>
      </m:oMath>
      <w:r>
        <w:rPr>
          <w:rFonts w:eastAsia="宋体" w:hint="eastAsia"/>
          <w:lang w:eastAsia="zh-CN"/>
        </w:rPr>
        <w:t xml:space="preserve">-th rows 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respectively. These </w:t>
      </w:r>
      <w:r>
        <w:rPr>
          <w:rFonts w:eastAsia="宋体"/>
          <w:lang w:eastAsia="zh-CN"/>
        </w:rPr>
        <w:t xml:space="preserve">resulting </w:t>
      </w:r>
      <w:r>
        <w:rPr>
          <w:rFonts w:eastAsia="宋体" w:hint="eastAsia"/>
          <w:lang w:eastAsia="zh-CN"/>
        </w:rPr>
        <w:t xml:space="preserve">embeddings are concatenated into a feature matrix </w:t>
      </w:r>
      <m:oMath>
        <m:r>
          <w:rPr>
            <w:rFonts w:ascii="Cambria Math" w:eastAsia="宋体" w:hAnsi="Cambria Math"/>
          </w:rPr>
          <m:t>X∈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/>
              </w:rPr>
              <m:t>R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d</m:t>
                    </m:r>
                  </m:sub>
                </m:sSub>
                <m:ctrlPr>
                  <w:rPr>
                    <w:rFonts w:ascii="Cambria Math" w:eastAsia="宋体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宋体" w:hAnsi="Cambria Math"/>
              </w:rPr>
              <m:t>×</m:t>
            </m:r>
            <m:r>
              <w:rPr>
                <w:rFonts w:ascii="Cambria Math" w:eastAsia="宋体" w:hAnsi="Cambria Math"/>
              </w:rPr>
              <m:t>d</m:t>
            </m:r>
            <m:ctrlPr>
              <w:rPr>
                <w:rFonts w:ascii="Cambria Math" w:eastAsia="宋体" w:hAnsi="Cambria Math"/>
                <w:i/>
              </w:rPr>
            </m:ctrlPr>
          </m:sup>
        </m:sSup>
      </m:oMath>
      <w:r>
        <w:rPr>
          <w:rFonts w:eastAsia="宋体" w:hint="eastAsia"/>
          <w:lang w:eastAsia="zh-CN"/>
        </w:rPr>
        <w:t>.</w:t>
      </w:r>
    </w:p>
    <w:p w14:paraId="6B2FD90D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Heterogeneous Graph: Regulatory and Embedding Views</w:t>
      </w:r>
    </w:p>
    <w:p w14:paraId="25A6B4BF" w14:textId="77777777" w:rsidR="003B7FE1" w:rsidRDefault="00EF0798">
      <w:pPr>
        <w:ind w:firstLineChars="100" w:firstLine="200"/>
        <w:rPr>
          <w:rFonts w:hAnsi="DejaVu Math TeX Gyre"/>
        </w:rPr>
      </w:pPr>
      <w:r>
        <w:rPr>
          <w:rFonts w:eastAsia="宋体" w:hint="eastAsia"/>
          <w:lang w:eastAsia="zh-CN"/>
        </w:rPr>
        <w:t xml:space="preserve">As </w:t>
      </w:r>
      <w:r>
        <w:rPr>
          <w:rFonts w:eastAsia="宋体"/>
          <w:lang w:eastAsia="zh-CN"/>
        </w:rPr>
        <w:t xml:space="preserve">shown </w:t>
      </w:r>
      <w:r>
        <w:rPr>
          <w:rFonts w:eastAsia="宋体" w:hint="eastAsia"/>
          <w:lang w:eastAsia="zh-CN"/>
        </w:rPr>
        <w:t xml:space="preserve">in Fig. 1, four hypergraphs are constructed from regulatory and embedding views, including local </w:t>
      </w:r>
      <w:r>
        <w:rPr>
          <w:rFonts w:eastAsia="宋体"/>
          <w:lang w:eastAsia="zh-CN"/>
        </w:rPr>
        <w:t>(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</m:oMath>
      <w:r>
        <w:rPr>
          <w:rFonts w:hAnsi="DejaVu Math TeX Gyre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>) and global (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hAnsi="DejaVu Math TeX Gyre"/>
        </w:rPr>
        <w:t xml:space="preserve">) </w:t>
      </w:r>
      <w:r>
        <w:rPr>
          <w:rFonts w:eastAsia="宋体" w:hint="eastAsia"/>
          <w:lang w:eastAsia="zh-CN"/>
        </w:rPr>
        <w:t>hypergraphs</w:t>
      </w:r>
      <w:r>
        <w:rPr>
          <w:rFonts w:hAnsi="DejaVu Math TeX Gyre"/>
        </w:rPr>
        <w:t>.</w:t>
      </w:r>
    </w:p>
    <w:p w14:paraId="0770C1F5" w14:textId="4800B464" w:rsidR="003B7FE1" w:rsidRDefault="00EF0798">
      <w:pPr>
        <w:spacing w:before="360"/>
        <w:ind w:firstLine="0"/>
        <w:rPr>
          <w:rFonts w:eastAsia="宋体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Local Hypergraph. </w:t>
      </w:r>
      <w:r>
        <w:rPr>
          <w:rStyle w:val="heading3"/>
          <w:rFonts w:eastAsia="宋体" w:hint="eastAsia"/>
          <w:b w:val="0"/>
          <w:bCs/>
          <w:lang w:eastAsia="zh-CN"/>
        </w:rPr>
        <w:t>To capture high-order neighborhood relations, two local hypergraphs are constructed</w:t>
      </w:r>
      <w:r>
        <w:rPr>
          <w:rStyle w:val="heading3"/>
          <w:rFonts w:eastAsia="宋体"/>
          <w:b w:val="0"/>
          <w:bCs/>
          <w:lang w:eastAsia="zh-CN"/>
        </w:rPr>
        <w:t xml:space="preserve"> [</w:t>
      </w:r>
      <w:r w:rsidR="0073250E">
        <w:rPr>
          <w:rStyle w:val="heading3"/>
          <w:rFonts w:eastAsia="宋体"/>
          <w:b w:val="0"/>
          <w:bCs/>
          <w:lang w:eastAsia="zh-CN"/>
        </w:rPr>
        <w:t>25</w:t>
      </w:r>
      <w:r>
        <w:rPr>
          <w:rStyle w:val="heading3"/>
          <w:rFonts w:eastAsia="宋体"/>
          <w:b w:val="0"/>
          <w:bCs/>
          <w:lang w:eastAsia="zh-CN"/>
        </w:rPr>
        <w:t>]</w:t>
      </w:r>
      <w:r>
        <w:rPr>
          <w:rStyle w:val="heading3"/>
          <w:rFonts w:eastAsia="宋体" w:hint="eastAsia"/>
          <w:b w:val="0"/>
          <w:bCs/>
          <w:lang w:eastAsia="zh-CN"/>
        </w:rPr>
        <w:t xml:space="preserve">. In the regulatory view, </w:t>
      </w:r>
      <w:r>
        <w:rPr>
          <w:rFonts w:eastAsia="宋体" w:hint="eastAsia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  <m:r>
          <w:rPr>
            <w:rFonts w:ascii="DejaVu Math TeX Gyre" w:eastAsia="宋体" w:hAnsi="DejaVu Math TeX Gyre"/>
          </w:rPr>
          <m:t>=(</m:t>
        </m:r>
        <m:r>
          <w:rPr>
            <w:rFonts w:ascii="Cambria Math" w:eastAsia="宋体" w:hAnsi="Cambria Math"/>
          </w:rPr>
          <m:t>V,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E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Ansi="DejaVu Math TeX Gyre"/>
        </w:rPr>
        <w:t xml:space="preserve"> is built from top-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g</m:t>
            </m:r>
          </m:sub>
        </m:sSub>
      </m:oMath>
      <w:r>
        <w:rPr>
          <w:rFonts w:eastAsia="宋体" w:hAnsi="Cambria Math"/>
        </w:rPr>
        <w:t xml:space="preserve"> </w:t>
      </w:r>
      <w:r>
        <w:rPr>
          <w:rFonts w:eastAsia="宋体" w:hint="eastAsia"/>
          <w:lang w:eastAsia="zh-CN"/>
        </w:rPr>
        <w:t>gene</w:t>
      </w:r>
      <w:r>
        <w:rPr>
          <w:rFonts w:eastAsia="宋体"/>
          <w:lang w:eastAsia="zh-CN"/>
        </w:rPr>
        <w:t>-centered</w:t>
      </w:r>
      <w:r>
        <w:rPr>
          <w:rFonts w:eastAsia="宋体" w:hint="eastAsia"/>
          <w:lang w:eastAsia="zh-CN"/>
        </w:rPr>
        <w:t xml:space="preserve"> associations, where nodes sharing the same gene form a hyperedge</w:t>
      </w:r>
      <w:r>
        <w:rPr>
          <w:rFonts w:eastAsia="宋体"/>
          <w:lang w:eastAsia="zh-CN"/>
        </w:rPr>
        <w:t xml:space="preserve">, yielding incidence matrix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</m:oMath>
      <w:r>
        <w:rPr>
          <w:rFonts w:hAnsi="DejaVu Math TeX Gyre"/>
        </w:rPr>
        <w:t>.</w:t>
      </w:r>
      <w:r>
        <w:rPr>
          <w:rFonts w:eastAsia="宋体" w:hint="eastAsia"/>
          <w:lang w:eastAsia="zh-CN"/>
        </w:rPr>
        <w:t xml:space="preserve"> In the embedding view,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  <m:r>
          <w:rPr>
            <w:rFonts w:ascii="DejaVu Math TeX Gyre" w:eastAsia="宋体" w:hAnsi="DejaVu Math TeX Gyre"/>
          </w:rPr>
          <m:t>=(</m:t>
        </m:r>
        <m:r>
          <w:rPr>
            <w:rFonts w:ascii="Cambria Math" w:eastAsia="宋体" w:hAnsi="Cambria Math"/>
          </w:rPr>
          <m:t>V,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E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Ansi="DejaVu Math TeX Gyre"/>
        </w:rPr>
        <w:t xml:space="preserve"> is constructed by connecting each node with its </w:t>
      </w:r>
      <w:r>
        <w:rPr>
          <w:rFonts w:eastAsia="宋体" w:hint="eastAsia"/>
          <w:lang w:eastAsia="zh-CN"/>
        </w:rPr>
        <w:t>top</w:t>
      </w:r>
      <w:r>
        <w:rPr>
          <w:rFonts w:eastAsia="宋体"/>
          <w:lang w:eastAsia="zh-CN"/>
        </w:rPr>
        <w:t>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eastAsia="宋体" w:hAnsi="DejaVu Math TeX Gyre"/>
              </w:rPr>
              <m:t>n</m:t>
            </m:r>
          </m:sub>
        </m:sSub>
      </m:oMath>
      <w:r>
        <w:rPr>
          <w:rFonts w:eastAsia="宋体" w:hAnsi="Cambria Math"/>
        </w:rPr>
        <w:t xml:space="preserve"> nearest neighbors in embedding space, producing incidence matrix 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>.</w:t>
      </w:r>
    </w:p>
    <w:p w14:paraId="0BCD7AD2" w14:textId="77777777" w:rsidR="003B7FE1" w:rsidRDefault="00EF0798">
      <w:pPr>
        <w:pStyle w:val="3"/>
        <w:rPr>
          <w:rFonts w:eastAsia="宋体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Global Hypergraph. </w:t>
      </w:r>
      <w:r>
        <w:rPr>
          <w:rFonts w:eastAsia="宋体" w:hint="eastAsia"/>
          <w:lang w:eastAsia="zh-CN"/>
        </w:rPr>
        <w:t xml:space="preserve"> To model long-range dependencies,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are</w:t>
      </w:r>
      <w:r>
        <w:rPr>
          <w:rFonts w:eastAsia="宋体" w:hint="eastAsia"/>
          <w:lang w:eastAsia="zh-CN"/>
        </w:rPr>
        <w:t xml:space="preserve"> generated from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R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 xml:space="preserve"> via the same</w:t>
      </w:r>
      <w:r>
        <w:rPr>
          <w:rFonts w:eastAsia="宋体" w:hint="eastAsia"/>
          <w:lang w:eastAsia="zh-CN"/>
        </w:rPr>
        <w:t xml:space="preserve"> symmetric residual diffusion</w:t>
      </w:r>
      <w:r>
        <w:rPr>
          <w:rFonts w:eastAsia="宋体"/>
          <w:lang w:eastAsia="zh-CN"/>
        </w:rPr>
        <w:t xml:space="preserve"> mechanism</w:t>
      </w:r>
      <w:r>
        <w:rPr>
          <w:rFonts w:eastAsia="宋体" w:hint="eastAsia"/>
          <w:lang w:eastAsia="zh-CN"/>
        </w:rPr>
        <w:t xml:space="preserve">. For each view, the initial structural association matrix is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w:rPr>
                <w:rFonts w:ascii="DejaVu Math TeX Gyre" w:eastAsia="宋体" w:hAnsi="DejaVu Math TeX Gyre"/>
              </w:rPr>
              <m:t>(0)</m:t>
            </m:r>
          </m:sup>
        </m:s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DejaVu Math TeX Gyre" w:hAnsi="DejaVu Math TeX Gyre"/>
                <w:i/>
              </w:rPr>
            </m:ctrlPr>
          </m:sSubSup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l</m:t>
            </m:r>
          </m:sub>
          <m:sup>
            <m:r>
              <w:rPr>
                <w:rFonts w:ascii="DejaVu Math TeX Gyre" w:hAnsi="DejaVu Math TeX Gyre"/>
              </w:rPr>
              <m:t>(v)</m:t>
            </m:r>
          </m:sup>
        </m:sSubSup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e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-1</m:t>
            </m:r>
          </m:sup>
        </m:sSub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sSubSup>
              <m:sSubSupPr>
                <m:ctrlPr>
                  <w:rPr>
                    <w:rFonts w:ascii="DejaVu Math TeX Gyre" w:hAnsi="DejaVu Math TeX Gyre"/>
                    <w:i/>
                  </w:rPr>
                </m:ctrlPr>
              </m:sSubSupPr>
              <m:e>
                <m:r>
                  <w:rPr>
                    <w:rFonts w:ascii="DejaVu Math TeX Gyre" w:hAnsi="DejaVu Math TeX Gyre"/>
                  </w:rPr>
                  <m:t>(H</m:t>
                </m:r>
              </m:e>
              <m:sub>
                <m:r>
                  <w:rPr>
                    <w:rFonts w:ascii="DejaVu Math TeX Gyre" w:hAnsi="DejaVu Math TeX Gyre"/>
                  </w:rPr>
                  <m:t>l</m:t>
                </m:r>
              </m:sub>
              <m:sup>
                <m:r>
                  <w:rPr>
                    <w:rFonts w:ascii="DejaVu Math TeX Gyre" w:hAnsi="DejaVu Math TeX Gyre"/>
                  </w:rPr>
                  <m:t>(v)</m:t>
                </m:r>
              </m:sup>
            </m:sSubSup>
            <m:r>
              <w:rPr>
                <w:rFonts w:ascii="DejaVu Math TeX Gyre" w:hAnsi="DejaVu Math TeX Gyre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>
        <w:rPr>
          <w:rFonts w:eastAsia="宋体" w:hAnsi="Cambria Math"/>
        </w:rPr>
        <w:t xml:space="preserve">, with </w:t>
      </w:r>
      <w:r>
        <w:rPr>
          <w:rFonts w:eastAsia="宋体" w:hint="eastAsia"/>
          <w:lang w:eastAsia="zh-CN"/>
        </w:rPr>
        <w:t>symmetric diffusion iteratively</w:t>
      </w:r>
      <w:r>
        <w:rPr>
          <w:rFonts w:eastAsia="宋体"/>
          <w:lang w:eastAsia="zh-CN"/>
        </w:rPr>
        <w:t xml:space="preserve"> defined as</w:t>
      </w:r>
      <w:r>
        <w:rPr>
          <w:rFonts w:eastAsia="宋体" w:hint="eastAsia"/>
          <w:lang w:eastAsia="zh-CN"/>
        </w:rPr>
        <w:t>:</w:t>
      </w:r>
    </w:p>
    <w:p w14:paraId="64ED8136" w14:textId="77777777" w:rsidR="003B7FE1" w:rsidRDefault="00EF0798">
      <w:pPr>
        <w:pStyle w:val="equation"/>
      </w:pPr>
      <w:r>
        <w:rPr>
          <w:i/>
        </w:rPr>
        <w:tab/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(k)</m:t>
            </m:r>
          </m:sup>
        </m:sSup>
        <m:r>
          <w:rPr>
            <w:rFonts w:ascii="DejaVu Math TeX Gyre" w:eastAsia="宋体" w:hAnsi="DejaVu Math TeX Gyre"/>
          </w:rPr>
          <m:t>=</m:t>
        </m:r>
        <m:r>
          <w:rPr>
            <w:rFonts w:ascii="Cambria Math" w:eastAsia="宋体" w:hAnsi="Cambria Math"/>
          </w:rPr>
          <m:t>α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(0)</m:t>
            </m:r>
          </m:sup>
        </m:sSup>
        <m:r>
          <w:rPr>
            <w:rFonts w:ascii="DejaVu Math TeX Gyre" w:eastAsia="宋体" w:hAnsi="DejaVu Math TeX Gyre"/>
          </w:rPr>
          <m:t>+(1-</m:t>
        </m:r>
        <m:r>
          <w:rPr>
            <w:rFonts w:ascii="Cambria Math" w:eastAsia="宋体" w:hAnsi="Cambria Math"/>
          </w:rPr>
          <m:t>α</m:t>
        </m:r>
        <m:r>
          <w:rPr>
            <w:rFonts w:ascii="DejaVu Math TeX Gyre" w:eastAsia="宋体" w:hAnsi="DejaVu Math TeX Gyre"/>
          </w:rPr>
          <m:t>)</m:t>
        </m:r>
        <m:r>
          <w:rPr>
            <w:rFonts w:ascii="Cambria Math" w:eastAsia="宋体" w:hAnsi="Cambria Math"/>
          </w:rPr>
          <m:t> </m:t>
        </m:r>
        <m:r>
          <m:rPr>
            <m:sty m:val="p"/>
          </m:rPr>
          <w:rPr>
            <w:rFonts w:ascii="Cambria Math" w:eastAsia="宋体" w:hAnsi="Cambria Math"/>
          </w:rPr>
          <m:t>Θ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(k-1)</m:t>
            </m:r>
          </m:sup>
        </m:sSup>
      </m:oMath>
      <w:r>
        <w:tab/>
        <w:t>(</w:t>
      </w:r>
      <w:r>
        <w:rPr>
          <w:rFonts w:eastAsia="宋体" w:hint="eastAsia"/>
          <w:lang w:eastAsia="zh-CN"/>
        </w:rPr>
        <w:t>2</w:t>
      </w:r>
      <w:r>
        <w:t>)</w:t>
      </w:r>
    </w:p>
    <w:p w14:paraId="0682D3EE" w14:textId="78698D81" w:rsidR="003B7FE1" w:rsidRDefault="00EF0798">
      <w:pPr>
        <w:pStyle w:val="3"/>
        <w:rPr>
          <w:vertAlign w:val="subscript"/>
        </w:rPr>
      </w:pPr>
      <w:r>
        <w:t xml:space="preserve">where </w:t>
      </w:r>
      <m:oMath>
        <m:r>
          <m:rPr>
            <m:sty m:val="p"/>
          </m:rPr>
          <w:rPr>
            <w:rFonts w:ascii="Cambria Math" w:eastAsia="宋体" w:hAnsi="Cambria Math"/>
          </w:rPr>
          <m:t>Θ</m:t>
        </m:r>
        <m:r>
          <m:rPr>
            <m:sty m:val="p"/>
          </m:rPr>
          <w:rPr>
            <w:rFonts w:ascii="DejaVu Math TeX Gyre" w:eastAsia="宋体" w:hAnsi="DejaVu Math TeX Gyre"/>
          </w:rPr>
          <m:t>=</m:t>
        </m:r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-1/2</m:t>
            </m:r>
          </m:sup>
        </m:sSub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(0)</m:t>
            </m:r>
          </m:sup>
        </m:sSup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w:rPr>
                <w:rFonts w:ascii="Cambria Math" w:eastAsia="宋体" w:hAnsi="Cambria Math"/>
              </w:rPr>
              <m:t>-</m:t>
            </m:r>
            <m:r>
              <w:rPr>
                <w:rFonts w:ascii="DejaVu Math TeX Gyre" w:eastAsia="宋体" w:hAnsi="DejaVu Math TeX Gyre"/>
              </w:rPr>
              <m:t>1/2</m:t>
            </m:r>
          </m:sup>
        </m:sSubSup>
      </m:oMath>
      <w:r>
        <w:rPr>
          <w:rFonts w:eastAsia="宋体" w:hAnsi="Cambria Math"/>
        </w:rPr>
        <w:t xml:space="preserve"> and </w:t>
      </w:r>
      <m:oMath>
        <m:r>
          <w:rPr>
            <w:rFonts w:ascii="Cambria Math" w:eastAsia="宋体" w:hAnsi="Cambria Math"/>
          </w:rPr>
          <m:t>α∈</m:t>
        </m:r>
        <m:r>
          <w:rPr>
            <w:rFonts w:ascii="DejaVu Math TeX Gyre" w:eastAsia="宋体" w:hAnsi="DejaVu Math TeX Gyre"/>
          </w:rPr>
          <m:t>(</m:t>
        </m:r>
        <m:r>
          <w:rPr>
            <w:rFonts w:ascii="Cambria Math" w:eastAsia="宋体" w:hAnsi="Cambria Math"/>
          </w:rPr>
          <m:t>0</m:t>
        </m:r>
        <m:r>
          <w:rPr>
            <w:rFonts w:ascii="DejaVu Math TeX Gyre" w:eastAsia="宋体" w:hAnsi="DejaVu Math TeX Gyre"/>
          </w:rPr>
          <m:t>,</m:t>
        </m:r>
        <m:r>
          <w:rPr>
            <w:rFonts w:ascii="Cambria Math" w:eastAsia="宋体" w:hAnsi="Cambria Math"/>
          </w:rPr>
          <m:t>1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controls the contribution of the original structure [</w:t>
      </w:r>
      <w:r w:rsidR="0016118C">
        <w:rPr>
          <w:rFonts w:eastAsia="宋体"/>
          <w:lang w:eastAsia="zh-CN"/>
        </w:rPr>
        <w:t>26</w:t>
      </w:r>
      <w:r>
        <w:rPr>
          <w:rFonts w:eastAsia="宋体" w:hint="eastAsia"/>
          <w:lang w:eastAsia="zh-CN"/>
        </w:rPr>
        <w:t xml:space="preserve">]. </w:t>
      </w:r>
      <w:r>
        <w:rPr>
          <w:rFonts w:eastAsia="宋体" w:hAnsi="Cambria Math"/>
        </w:rPr>
        <w:t xml:space="preserve"> After </w:t>
      </w:r>
      <m:oMath>
        <m:r>
          <w:rPr>
            <w:rFonts w:ascii="Cambria Math" w:eastAsia="宋体" w:hAnsi="Cambria Math"/>
          </w:rPr>
          <m:t>K</m:t>
        </m:r>
      </m:oMath>
      <w:r>
        <w:rPr>
          <w:rFonts w:eastAsia="宋体" w:hint="eastAsia"/>
          <w:lang w:eastAsia="zh-CN"/>
        </w:rPr>
        <w:t>-step diffusion, each node connects to its top</w:t>
      </w:r>
      <w:r>
        <w:rPr>
          <w:rFonts w:eastAsia="宋体"/>
          <w:lang w:eastAsia="zh-CN"/>
        </w:rPr>
        <w:t>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n</m:t>
            </m:r>
          </m:sub>
        </m:sSub>
      </m:oMath>
      <w:r>
        <w:rPr>
          <w:rFonts w:eastAsia="宋体" w:hAnsi="Cambria Math"/>
        </w:rPr>
        <w:t xml:space="preserve"> </w:t>
      </w:r>
      <w:proofErr w:type="gramStart"/>
      <w:r>
        <w:rPr>
          <w:rFonts w:eastAsia="宋体" w:hAnsi="Cambria Math"/>
        </w:rPr>
        <w:t>most  similar</w:t>
      </w:r>
      <w:proofErr w:type="gramEnd"/>
      <w:r>
        <w:rPr>
          <w:rFonts w:eastAsia="宋体" w:hAnsi="Cambria Math"/>
        </w:rPr>
        <w:t xml:space="preserve"> nodes to form the global incidence matrix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hAnsi="DejaVu Math TeX Gyre"/>
        </w:rPr>
        <w:t>. Thus, local hypergraphs preserve fine-grained high-o</w:t>
      </w:r>
      <w:proofErr w:type="spellStart"/>
      <w:r>
        <w:rPr>
          <w:rFonts w:hAnsi="DejaVu Math TeX Gyre"/>
        </w:rPr>
        <w:t>rder</w:t>
      </w:r>
      <w:proofErr w:type="spellEnd"/>
      <w:r>
        <w:rPr>
          <w:rFonts w:hAnsi="DejaVu Math TeX Gyre"/>
        </w:rPr>
        <w:t xml:space="preserve"> associations, while global hypergraphs capture complementary long-range dependencies.</w:t>
      </w:r>
    </w:p>
    <w:p w14:paraId="640906BC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Feature Enhancement and Hypergraph Encoding</w:t>
      </w:r>
    </w:p>
    <w:p w14:paraId="495439C1" w14:textId="77777777" w:rsidR="003B7FE1" w:rsidRDefault="00EF0798">
      <w:pPr>
        <w:pStyle w:val="3"/>
        <w:ind w:firstLineChars="100"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As shown in the feature enhancement module of Fig. 1, each hypergraph </w:t>
      </w:r>
      <w:r>
        <w:rPr>
          <w:rFonts w:eastAsia="宋体"/>
          <w:lang w:eastAsia="zh-CN"/>
        </w:rPr>
        <w:t xml:space="preserve">undergoes </w:t>
      </w:r>
      <w:r>
        <w:rPr>
          <w:rFonts w:eastAsia="宋体" w:hint="eastAsia"/>
          <w:lang w:eastAsia="zh-CN"/>
        </w:rPr>
        <w:t>geodesic feature augmentation followed by hypergraph neural network encoding.</w:t>
      </w:r>
    </w:p>
    <w:p w14:paraId="3F388AB0" w14:textId="01DEBA2D" w:rsidR="003B7FE1" w:rsidRDefault="00EF0798">
      <w:pPr>
        <w:pStyle w:val="3"/>
        <w:rPr>
          <w:rFonts w:eastAsia="宋体"/>
          <w:lang w:eastAsia="zh-CN"/>
        </w:rPr>
      </w:pPr>
      <w:r>
        <w:rPr>
          <w:rFonts w:eastAsia="宋体" w:hint="eastAsia"/>
          <w:b/>
          <w:bCs/>
          <w:lang w:eastAsia="zh-CN"/>
        </w:rPr>
        <w:t>Geodesic Feature Augmentation</w:t>
      </w:r>
      <w:r>
        <w:rPr>
          <w:rStyle w:val="heading3"/>
          <w:rFonts w:eastAsia="宋体" w:hint="eastAsia"/>
          <w:lang w:eastAsia="zh-CN"/>
        </w:rPr>
        <w:t xml:space="preserve">. </w:t>
      </w:r>
      <w:r>
        <w:rPr>
          <w:rFonts w:eastAsia="宋体" w:hint="eastAsia"/>
          <w:lang w:eastAsia="zh-CN"/>
        </w:rPr>
        <w:t>Following the generalized geodesic distance framework [</w:t>
      </w:r>
      <w:r w:rsidR="00EF5B53">
        <w:rPr>
          <w:rFonts w:eastAsia="宋体"/>
          <w:lang w:eastAsia="zh-CN"/>
        </w:rPr>
        <w:t>27</w:t>
      </w:r>
      <w:r>
        <w:rPr>
          <w:rFonts w:eastAsia="宋体" w:hint="eastAsia"/>
          <w:lang w:eastAsia="zh-CN"/>
        </w:rPr>
        <w:t xml:space="preserve">], we adapt </w:t>
      </w:r>
      <w:r>
        <w:rPr>
          <w:rFonts w:eastAsia="宋体"/>
          <w:lang w:eastAsia="zh-CN"/>
        </w:rPr>
        <w:t xml:space="preserve">it to hypergraph-based biological networks by introducing a hub-aware penalty to suppress nonspecific high-degree nodes and emphasize biologically </w:t>
      </w:r>
      <w:r>
        <w:rPr>
          <w:rFonts w:eastAsia="宋体"/>
          <w:lang w:eastAsia="zh-CN"/>
        </w:rPr>
        <w:lastRenderedPageBreak/>
        <w:t xml:space="preserve">meaningful paths. For </w:t>
      </w:r>
      <w:r>
        <w:rPr>
          <w:rFonts w:eastAsia="宋体" w:hint="eastAsia"/>
          <w:lang w:eastAsia="zh-CN"/>
        </w:rPr>
        <w:t xml:space="preserve">each hypergraph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∈</m:t>
        </m:r>
        <m:r>
          <w:rPr>
            <w:rFonts w:ascii="DejaVu Math TeX Gyre" w:eastAsia="宋体" w:hAnsi="DejaVu Math TeX Gyre"/>
          </w:rPr>
          <m:t>{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RL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RG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EL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EG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}</m:t>
        </m:r>
      </m:oMath>
      <w:r>
        <w:rPr>
          <w:rFonts w:eastAsia="宋体"/>
          <w:lang w:eastAsia="zh-CN"/>
        </w:rPr>
        <w:t>, geodesic features are obtained via a minimum-cost propagation process. We define a degree-based potential</w:t>
      </w:r>
      <w:r>
        <w:rPr>
          <w:rFonts w:eastAsia="宋体" w:hint="eastAsia"/>
          <w:lang w:eastAsia="zh-CN"/>
        </w:rPr>
        <w:t xml:space="preserve"> </w:t>
      </w:r>
      <m:oMath>
        <m:r>
          <w:rPr>
            <w:rFonts w:ascii="Cambria Math" w:eastAsia="宋体" w:hAnsi="Cambria Math"/>
          </w:rPr>
          <m:t>ρ</m:t>
        </m:r>
        <m:r>
          <w:rPr>
            <w:rFonts w:ascii="DejaVu Math TeX Gyre" w:eastAsia="宋体" w:hAnsi="DejaVu Math TeX Gyre"/>
          </w:rPr>
          <m:t>(</m:t>
        </m:r>
        <m:r>
          <w:rPr>
            <w:rFonts w:ascii="Cambria Math" w:eastAsia="宋体" w:hAnsi="Cambria Math"/>
          </w:rPr>
          <m:t>i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to penalize paths through hubs:</w:t>
      </w:r>
    </w:p>
    <w:p w14:paraId="772D5927" w14:textId="77777777" w:rsidR="003B7FE1" w:rsidRDefault="00EF0798">
      <w:pPr>
        <w:pStyle w:val="equation"/>
      </w:pPr>
      <w:r>
        <w:rPr>
          <w:i/>
        </w:rPr>
        <w:tab/>
      </w:r>
      <m:oMath>
        <m:r>
          <w:rPr>
            <w:rFonts w:ascii="Cambria Math" w:hAnsi="Cambria Math"/>
          </w:rPr>
          <m:t>ρ</m:t>
        </m:r>
        <m:r>
          <w:rPr>
            <w:rFonts w:ascii="DejaVu Math TeX Gyre" w:hAnsi="DejaVu Math TeX Gyre"/>
          </w:rPr>
          <m:t>(i)=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DejaVu Math TeX Gyre" w:hAnsi="DejaVu Math TeX Gyre"/>
                      </w:rPr>
                      <m:t>d(i)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cr m:val="double-struck"/>
                      </m:rPr>
                      <w:rPr>
                        <w:rFonts w:ascii="Cambria Math" w:eastAsia="MS Mincho" w:hAnsi="Cambria Math"/>
                      </w:rPr>
                      <m:t>E</m:t>
                    </m:r>
                    <m:r>
                      <w:rPr>
                        <w:rFonts w:ascii="DejaVu Math TeX Gyre" w:eastAsia="MS Mincho" w:hAnsi="DejaVu Math TeX Gyre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DejaVu Math TeX Gyre" w:hAnsi="DejaVu Math TeX Gyre"/>
                      </w:rPr>
                      <m:t>]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ab/>
        <w:t>(</w:t>
      </w:r>
      <w:r>
        <w:rPr>
          <w:rFonts w:eastAsia="宋体" w:hint="eastAsia"/>
          <w:lang w:eastAsia="zh-CN"/>
        </w:rPr>
        <w:t>3</w:t>
      </w:r>
      <w:r>
        <w:t>)</w:t>
      </w:r>
    </w:p>
    <w:p w14:paraId="21C2177E" w14:textId="77777777" w:rsidR="003B7FE1" w:rsidRDefault="00EF0798">
      <w:pPr>
        <w:ind w:firstLine="0"/>
        <w:rPr>
          <w:lang w:eastAsia="zh-CN"/>
        </w:rPr>
      </w:pPr>
      <w:r>
        <w:rPr>
          <w:rFonts w:hint="eastAsia"/>
          <w:lang w:eastAsia="zh-CN"/>
        </w:rPr>
        <w:t xml:space="preserve">where </w:t>
      </w:r>
      <m:oMath>
        <m:r>
          <w:rPr>
            <w:rFonts w:ascii="Cambria Math" w:hAnsi="Cambria Math"/>
          </w:rPr>
          <m:t>d</m:t>
        </m:r>
        <m: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 is the hyper-degree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, </w:t>
      </w:r>
      <m:oMath>
        <m:r>
          <m:rPr>
            <m:scr m:val="double-struck"/>
          </m:rPr>
          <w:rPr>
            <w:rFonts w:ascii="Cambria Math" w:eastAsia="MS Mincho" w:hAnsi="Cambria Math"/>
          </w:rPr>
          <m:t>E</m:t>
        </m:r>
        <m:r>
          <w:rPr>
            <w:rFonts w:ascii="DejaVu Math TeX Gyre" w:eastAsia="MS Mincho" w:hAnsi="DejaVu Math TeX Gyre"/>
          </w:rPr>
          <m:t>[</m:t>
        </m:r>
        <m:r>
          <w:rPr>
            <w:rFonts w:ascii="Cambria Math" w:hAnsi="Cambria Math"/>
          </w:rPr>
          <m:t>d</m:t>
        </m:r>
        <m:r>
          <w:rPr>
            <w:rFonts w:ascii="DejaVu Math TeX Gyre" w:hAnsi="DejaVu Math TeX Gyre"/>
          </w:rPr>
          <m:t>]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DejaVu Math TeX Gyre" w:hAnsi="DejaVu Math TeX Gyre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DejaVu Math TeX Gyre" w:hAnsi="DejaVu Math TeX Gyre"/>
              </w:rPr>
              <m:t>|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DejaVu Math TeX Gyre" w:hAnsi="DejaVu Math TeX Gyre"/>
              </w:rPr>
              <m:t>|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nary>
        <m: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 is the average hyper-degree, and </w:t>
      </w:r>
      <m:oMath>
        <m:r>
          <w:rPr>
            <w:rFonts w:ascii="Cambria Math" w:hAnsi="Cambria Math"/>
          </w:rPr>
          <m:t>γ</m:t>
        </m:r>
      </m:oMath>
      <w:r>
        <w:rPr>
          <w:rFonts w:hAnsi="Cambria Math"/>
        </w:rPr>
        <w:t xml:space="preserve"> </w:t>
      </w:r>
      <w:r>
        <w:rPr>
          <w:rFonts w:hint="eastAsia"/>
          <w:lang w:eastAsia="zh-CN"/>
        </w:rPr>
        <w:t xml:space="preserve">is a specificity </w:t>
      </w:r>
      <w:proofErr w:type="gramStart"/>
      <w:r>
        <w:rPr>
          <w:rFonts w:hint="eastAsia"/>
          <w:lang w:eastAsia="zh-CN"/>
        </w:rPr>
        <w:t>parameter.</w:t>
      </w:r>
      <w:proofErr w:type="gramEnd"/>
      <w:r>
        <w:rPr>
          <w:rFonts w:hint="eastAsia"/>
          <w:lang w:eastAsia="zh-CN"/>
        </w:rPr>
        <w:t xml:space="preserve"> With scaling factor </w:t>
      </w:r>
      <m:oMath>
        <m:r>
          <w:rPr>
            <w:rFonts w:ascii="Cambria Math" w:hAnsi="Cambria Math"/>
          </w:rPr>
          <m:t>β&gt;0</m:t>
        </m:r>
      </m:oMath>
      <w:r>
        <w:rPr>
          <w:rFonts w:hint="eastAsia"/>
          <w:lang w:eastAsia="zh-CN"/>
        </w:rPr>
        <w:t>, the generalized geodesic distance is updated as:</w:t>
      </w:r>
    </w:p>
    <w:p w14:paraId="2E0C0D06" w14:textId="77777777" w:rsidR="003B7FE1" w:rsidRDefault="00EF0798">
      <w:pPr>
        <w:pStyle w:val="equation"/>
      </w:pPr>
      <w:r>
        <w:rPr>
          <w:i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DejaVu Math TeX Gyre" w:hAnsi="DejaVu Math TeX Gyre"/>
              </w:rPr>
              <m:t>(t+1)</m:t>
            </m:r>
          </m:sup>
        </m:sSup>
        <m:r>
          <w:rPr>
            <w:rFonts w:ascii="DejaVu Math TeX Gyre" w:hAnsi="DejaVu Math TeX Gyre"/>
          </w:rPr>
          <m:t>(i)=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MS Mincho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DejaVu Math TeX Gyre" w:hAnsi="DejaVu Math TeX Gyre"/>
                            </w:rPr>
                            <m:t>(i)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DejaVu Math TeX Gyre" w:hAnsi="DejaVu Math TeX Gyre"/>
                                </w:rPr>
                                <m:t>(t)</m:t>
                              </m:r>
                            </m:sup>
                          </m:sSup>
                          <m:r>
                            <w:rPr>
                              <w:rFonts w:ascii="DejaVu Math TeX Gyre" w:hAnsi="DejaVu Math TeX Gyre"/>
                            </w:rPr>
                            <m:t>(j)</m:t>
                          </m:r>
                        </m:e>
                      </m:d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 xml:space="preserve"> </m:t>
                      </m:r>
                      <m:r>
                        <w:rPr>
                          <w:rFonts w:ascii="DejaVu Math TeX Gyre" w:eastAsia="宋体" w:hAnsi="DejaVu Math TeX Gyre"/>
                          <w:lang w:eastAsia="zh-CN"/>
                        </w:rPr>
                        <m:t xml:space="preserve">+ </m:t>
                      </m:r>
                      <m:r>
                        <w:rPr>
                          <w:rFonts w:ascii="Cambria Math" w:hAnsi="Cambria Math"/>
                        </w:rPr>
                        <m:t>βρ</m:t>
                      </m:r>
                      <m:r>
                        <w:rPr>
                          <w:rFonts w:ascii="DejaVu Math TeX Gyre" w:hAnsi="DejaVu Math TeX Gyre"/>
                        </w:rPr>
                        <m:t>(i)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DejaVu Math TeX Gyre" w:hAnsi="DejaVu Math TeX Gyre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MS Mincho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(i)|&gt;0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DejaVu Math TeX Gyre" w:hAnsi="DejaVu Math TeX Gyre"/>
                        </w:rPr>
                        <m:t>max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,</m:t>
                  </m:r>
                </m:e>
                <m:e>
                  <m:r>
                    <w:rPr>
                      <w:rFonts w:ascii="DejaVu Math TeX Gyre" w:hAnsi="DejaVu Math TeX Gyre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MS Mincho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(i)|=0</m:t>
                  </m:r>
                </m:e>
              </m:mr>
            </m:m>
          </m:e>
        </m:d>
      </m:oMath>
      <w:r>
        <w:tab/>
        <w:t>(</w:t>
      </w:r>
      <w:r>
        <w:rPr>
          <w:rFonts w:eastAsia="宋体" w:hint="eastAsia"/>
          <w:lang w:eastAsia="zh-CN"/>
        </w:rPr>
        <w:t>4</w:t>
      </w:r>
      <w:r>
        <w:t>)</w:t>
      </w:r>
    </w:p>
    <w:p w14:paraId="1F5C6743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lang w:eastAsia="zh-CN"/>
        </w:rPr>
        <w:t xml:space="preserve"> contains nodes sharing at least one hyperedge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eastAsia="zh-CN"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rPr>
          <w:lang w:eastAsia="zh-CN"/>
        </w:rPr>
        <w:t xml:space="preserve"> applies to isolated nodes</w:t>
      </w:r>
      <w:r>
        <w:rPr>
          <w:rFonts w:eastAsia="宋体" w:hAnsi="Cambria Math" w:hint="eastAsia"/>
          <w:lang w:eastAsia="zh-CN"/>
        </w:rPr>
        <w:t xml:space="preserve">. </w:t>
      </w:r>
      <w:r>
        <w:rPr>
          <w:rFonts w:eastAsia="宋体" w:hAnsi="Cambria Math"/>
          <w:lang w:eastAsia="zh-CN"/>
        </w:rPr>
        <w:t>B</w:t>
      </w:r>
      <w:r>
        <w:rPr>
          <w:rFonts w:eastAsia="宋体" w:hAnsi="Cambria Math" w:hint="eastAsia"/>
          <w:lang w:eastAsia="zh-CN"/>
        </w:rPr>
        <w:t xml:space="preserve">oundary nodes </w:t>
      </w:r>
      <m:oMath>
        <m:r>
          <m:rPr>
            <m:scr m:val="script"/>
          </m:rPr>
          <w:rPr>
            <w:rFonts w:ascii="Cambria Math" w:eastAsia="MS Mincho" w:hAnsi="Cambria Math"/>
          </w:rPr>
          <m:t>B</m:t>
        </m:r>
      </m:oMath>
      <w:r>
        <w:rPr>
          <w:rFonts w:eastAsia="宋体" w:hAnsi="Cambria Math" w:hint="eastAsia"/>
          <w:lang w:eastAsia="zh-CN"/>
        </w:rPr>
        <w:t xml:space="preserve"> are defined as seed nodes incident to the core hyperedges used to initialize geodesic propagation. The initial state is:</w:t>
      </w:r>
    </w:p>
    <w:p w14:paraId="36F24524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DejaVu Math TeX Gyre" w:hAnsi="DejaVu Math TeX Gyre"/>
                    </w:rPr>
                    <m:t>(0)</m:t>
                  </m:r>
                </m:sup>
              </m:sSup>
              <m:r>
                <w:rPr>
                  <w:rFonts w:ascii="DejaVu Math TeX Gyre" w:hAnsi="DejaVu Math TeX Gyre"/>
                </w:rPr>
                <m:t>(i)=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DejaVu Math TeX Gyre" w:hAnsi="DejaVu Math TeX Gyre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i∈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eastAsia="MS Mincho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DejaVu Math TeX Gyre" w:hAnsi="DejaVu Math TeX Gyre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∞,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otherwise</m:t>
                        </m:r>
                      </m:e>
                    </m:mr>
                  </m:m>
                </m:e>
              </m:d>
            </m:e>
          </m:mr>
        </m:m>
      </m:oMath>
      <w:r>
        <w:rPr>
          <w:rFonts w:hint="eastAsia"/>
          <w:i/>
        </w:rPr>
        <w:t xml:space="preserve"> 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5</w:t>
      </w:r>
      <w:r>
        <w:t>)</w:t>
      </w:r>
    </w:p>
    <w:p w14:paraId="07533AB7" w14:textId="77777777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lang w:eastAsia="zh-CN"/>
        </w:rPr>
        <w:t>After</w:t>
      </w:r>
      <w:r>
        <w:rPr>
          <w:rFonts w:hint="eastAsia"/>
          <w:lang w:eastAsia="zh-CN"/>
        </w:rPr>
        <w:t xml:space="preserve"> converg</w:t>
      </w:r>
      <w:r>
        <w:rPr>
          <w:lang w:eastAsia="zh-CN"/>
        </w:rPr>
        <w:t>ence</w:t>
      </w:r>
      <w:r>
        <w:rPr>
          <w:rFonts w:hint="eastAsia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rFonts w:hint="eastAsia"/>
          <w:lang w:eastAsia="zh-CN"/>
        </w:rPr>
        <w:t xml:space="preserve"> represents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the geodesic distance from </w:t>
      </w:r>
      <m:oMath>
        <m:r>
          <m:rPr>
            <m:scr m:val="script"/>
          </m:rPr>
          <w:rPr>
            <w:rFonts w:ascii="Cambria Math" w:eastAsia="MS Mincho" w:hAnsi="Cambria Math"/>
          </w:rPr>
          <m:t>B</m:t>
        </m:r>
      </m:oMath>
      <w:r>
        <w:rPr>
          <w:rFonts w:hint="eastAsia"/>
          <w:lang w:eastAsia="zh-CN"/>
        </w:rP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. For each view, normalized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rFonts w:hint="eastAsia"/>
          <w:lang w:eastAsia="zh-CN"/>
        </w:rPr>
        <w:t xml:space="preserve"> is concatenated with node feature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 to form the augmented matrix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  <w:lang w:eastAsia="zh-CN"/>
        </w:rPr>
        <w:t xml:space="preserve"> with rows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v,i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DejaVu Math TeX Gyre" w:hAnsi="DejaVu Math TeX Gyre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r>
          <w:rPr>
            <w:rFonts w:ascii="DejaVu Math TeX Gyre" w:hAnsi="DejaVu Math TeX Gyre"/>
          </w:rPr>
          <m:t>||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DejaVu Math TeX Gyre" w:hAnsi="DejaVu Math TeX Gyre"/>
          </w:rPr>
          <m:t>(i)]</m:t>
        </m:r>
      </m:oMath>
      <w:r>
        <w:rPr>
          <w:rFonts w:hint="eastAsia"/>
          <w:lang w:eastAsia="zh-CN"/>
        </w:rPr>
        <w:t>.</w:t>
      </w:r>
    </w:p>
    <w:p w14:paraId="1F0040A5" w14:textId="721BCE48" w:rsidR="003B7FE1" w:rsidRDefault="00EF0798">
      <w:pPr>
        <w:pStyle w:val="3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Hypergraph Representation Learning</w:t>
      </w:r>
      <w:r>
        <w:rPr>
          <w:rStyle w:val="heading3"/>
          <w:rFonts w:eastAsia="宋体" w:hint="eastAsia"/>
          <w:lang w:eastAsia="zh-CN"/>
        </w:rPr>
        <w:t xml:space="preserve">. </w:t>
      </w:r>
      <w:r>
        <w:rPr>
          <w:rFonts w:eastAsia="宋体" w:hint="eastAsia"/>
          <w:lang w:eastAsia="zh-CN"/>
        </w:rPr>
        <w:t>We apply Hypergraph Neural Networks [</w:t>
      </w:r>
      <w:r w:rsidR="0010760A">
        <w:rPr>
          <w:rFonts w:eastAsia="宋体"/>
          <w:lang w:eastAsia="zh-CN"/>
        </w:rPr>
        <w:t>28</w:t>
      </w:r>
      <w:r>
        <w:rPr>
          <w:rFonts w:eastAsia="宋体" w:hint="eastAsia"/>
          <w:lang w:eastAsia="zh-CN"/>
        </w:rPr>
        <w:t xml:space="preserve">] to process the augmented features. The convolution at the </w:t>
      </w:r>
      <m:oMath>
        <m:r>
          <w:rPr>
            <w:rFonts w:ascii="DejaVu Math TeX Gyre" w:eastAsia="宋体"/>
            <w:lang w:eastAsia="zh-CN"/>
          </w:rPr>
          <m:t>(</m:t>
        </m:r>
        <m:r>
          <w:rPr>
            <w:rFonts w:ascii="Cambria Math" w:eastAsia="宋体" w:hAnsi="Cambria Math"/>
          </w:rPr>
          <m:t>l</m:t>
        </m:r>
        <m:r>
          <w:rPr>
            <w:rFonts w:ascii="DejaVu Math TeX Gyre" w:eastAsia="宋体" w:hAnsi="DejaVu Math TeX Gyre"/>
          </w:rPr>
          <m:t>+1)</m:t>
        </m:r>
      </m:oMath>
      <w:r>
        <w:rPr>
          <w:rFonts w:eastAsia="宋体" w:hint="eastAsia"/>
          <w:lang w:eastAsia="zh-CN"/>
        </w:rPr>
        <w:t>-th layer is:</w:t>
      </w:r>
    </w:p>
    <w:p w14:paraId="67BCBC53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DejaVu Math TeX Gyre" w:hAnsi="DejaVu Math TeX Gyre"/>
                    </w:rPr>
                    <m:t>(l+1)</m:t>
                  </m:r>
                </m:sup>
              </m:sSubSup>
              <m:r>
                <w:rPr>
                  <w:rFonts w:ascii="DejaVu Math TeX Gyre" w:hAnsi="DejaVu Math TeX Gyre"/>
                </w:rPr>
                <m:t>=</m:t>
              </m:r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-1/2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DejaVu Math TeX Gyre" w:hAnsi="DejaVu Math TeX Gyre"/>
                        </w:rPr>
                        <m:t>1/2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(l)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(l)</m:t>
                      </m:r>
                    </m:sup>
                  </m:sSubSup>
                </m:e>
              </m:d>
            </m:e>
          </m:mr>
        </m:m>
      </m:oMath>
      <w:r>
        <w:rPr>
          <w:rFonts w:hint="eastAsia"/>
          <w:i/>
        </w:rPr>
        <w:t xml:space="preserve"> 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6</w:t>
      </w:r>
      <w:r>
        <w:t>)</w:t>
      </w:r>
    </w:p>
    <w:p w14:paraId="4E91B9CE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H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</m:oMath>
      <w:r>
        <w:rPr>
          <w:rFonts w:eastAsia="宋体" w:hint="eastAsia"/>
          <w:lang w:eastAsia="zh-CN"/>
        </w:rPr>
        <w:t xml:space="preserve"> is the incidence matrix 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  <w:lang w:eastAsia="zh-CN"/>
          </w:rPr>
          <m:t xml:space="preserve"> </m:t>
        </m:r>
      </m:oMath>
      <w:r>
        <w:rPr>
          <w:rFonts w:eastAsia="宋体" w:hAnsi="Cambria Math" w:hint="eastAsia"/>
          <w:lang w:eastAsia="zh-CN"/>
        </w:rPr>
        <w:t xml:space="preserve">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>
        <w:rPr>
          <w:rFonts w:eastAsia="宋体" w:hint="eastAsia"/>
          <w:lang w:eastAsia="zh-CN"/>
        </w:rPr>
        <w:t xml:space="preserve"> are node and hyperedge degree </w:t>
      </w:r>
      <w:proofErr w:type="gramStart"/>
      <w:r>
        <w:rPr>
          <w:rFonts w:eastAsia="宋体" w:hint="eastAsia"/>
          <w:lang w:eastAsia="zh-CN"/>
        </w:rPr>
        <w:t>matrices,  and</w:t>
      </w:r>
      <w:proofErr w:type="gramEnd"/>
      <w:r>
        <w:rPr>
          <w:rFonts w:eastAsia="宋体" w:hint="eastAsia"/>
          <w:lang w:eastAsia="zh-CN"/>
        </w:rPr>
        <w:t xml:space="preserve"> </w:t>
      </w:r>
      <m:oMath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(l)</m:t>
            </m:r>
          </m:sup>
        </m:sSubSup>
      </m:oMath>
      <w:r>
        <w:rPr>
          <w:rFonts w:eastAsia="宋体" w:hint="eastAsia"/>
          <w:lang w:eastAsia="zh-CN"/>
        </w:rPr>
        <w:t xml:space="preserve"> is a learnable parameter. The four hypergraph branches </w:t>
      </w:r>
      <w:r>
        <w:rPr>
          <w:rFonts w:eastAsia="宋体"/>
          <w:lang w:eastAsia="zh-CN"/>
        </w:rPr>
        <w:t>yield</w:t>
      </w:r>
      <w:r>
        <w:rPr>
          <w:rFonts w:eastAsia="宋体" w:hint="eastAsia"/>
          <w:lang w:eastAsia="zh-CN"/>
        </w:rPr>
        <w:t>:</w:t>
      </w:r>
    </w:p>
    <w:p w14:paraId="47920521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f>
          <m:fPr>
            <m:type m:val="noBa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  <w:lang w:eastAsia="zh-CN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),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, 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 </m:t>
            </m:r>
          </m:den>
        </m:f>
      </m:oMath>
      <w:r>
        <w:rPr>
          <w:rFonts w:hint="eastAsia"/>
          <w:i/>
        </w:rPr>
        <w:t xml:space="preserve"> </w:t>
      </w:r>
      <w:r>
        <w:rPr>
          <w:rFonts w:eastAsia="宋体" w:hint="eastAsia"/>
          <w:i/>
          <w:lang w:eastAsia="zh-CN"/>
        </w:rPr>
        <w:t>.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7</w:t>
      </w:r>
      <w:r>
        <w:t>)</w:t>
      </w:r>
    </w:p>
    <w:p w14:paraId="47DB8F0A" w14:textId="77777777" w:rsidR="003B7FE1" w:rsidRDefault="00EF0798">
      <w:pPr>
        <w:pStyle w:val="heading2"/>
        <w:rPr>
          <w:lang w:eastAsia="zh-CN"/>
        </w:rPr>
      </w:pPr>
      <w:r>
        <w:rPr>
          <w:rFonts w:hint="eastAsia"/>
          <w:lang w:eastAsia="zh-CN"/>
        </w:rPr>
        <w:t>Intra-View Alignment and Graph Collaborative Filtering</w:t>
      </w:r>
    </w:p>
    <w:p w14:paraId="4D0B5A7C" w14:textId="77777777" w:rsidR="003B7FE1" w:rsidRDefault="00EF0798">
      <w:pPr>
        <w:ind w:firstLineChars="200" w:firstLine="400"/>
        <w:rPr>
          <w:lang w:eastAsia="zh-CN"/>
        </w:rPr>
      </w:pPr>
      <w:r>
        <w:rPr>
          <w:rFonts w:hint="eastAsia"/>
          <w:lang w:eastAsia="zh-CN"/>
        </w:rPr>
        <w:t xml:space="preserve">As </w:t>
      </w:r>
      <w:r>
        <w:rPr>
          <w:lang w:eastAsia="zh-CN"/>
        </w:rPr>
        <w:t xml:space="preserve">shown </w:t>
      </w:r>
      <w:r>
        <w:rPr>
          <w:rFonts w:hint="eastAsia"/>
          <w:lang w:eastAsia="zh-CN"/>
        </w:rPr>
        <w:t xml:space="preserve">in Fig. 1, </w:t>
      </w:r>
      <w:r>
        <w:rPr>
          <w:lang w:eastAsia="zh-CN"/>
        </w:rPr>
        <w:t>r</w:t>
      </w:r>
      <w:r>
        <w:rPr>
          <w:rFonts w:hint="eastAsia"/>
          <w:lang w:eastAsia="zh-CN"/>
        </w:rPr>
        <w:t xml:space="preserve">egulatory and embedding views </w:t>
      </w:r>
      <w:r>
        <w:rPr>
          <w:lang w:eastAsia="zh-CN"/>
        </w:rPr>
        <w:t xml:space="preserve">are aligned </w:t>
      </w:r>
      <w:r>
        <w:rPr>
          <w:rFonts w:hint="eastAsia"/>
          <w:lang w:eastAsia="zh-CN"/>
        </w:rPr>
        <w:t>and refine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 the </w:t>
      </w:r>
      <w:r>
        <w:rPr>
          <w:lang w:eastAsia="zh-CN"/>
        </w:rPr>
        <w:t>through</w:t>
      </w:r>
      <w:r>
        <w:rPr>
          <w:rFonts w:hint="eastAsia"/>
          <w:lang w:eastAsia="zh-CN"/>
        </w:rPr>
        <w:t xml:space="preserve"> the Prior-Guided Interaction Graph (PGIG) backbone.</w:t>
      </w:r>
    </w:p>
    <w:p w14:paraId="479B1772" w14:textId="77777777" w:rsidR="003B7FE1" w:rsidRDefault="00EF0798">
      <w:pPr>
        <w:pStyle w:val="3"/>
        <w:rPr>
          <w:rFonts w:eastAsia="宋体" w:hAnsi="Cambria Math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Intra-View Contrastive Learning. </w:t>
      </w:r>
      <w:r>
        <w:rPr>
          <w:rFonts w:eastAsia="宋体" w:hint="eastAsia"/>
          <w:lang w:eastAsia="zh-CN"/>
        </w:rPr>
        <w:t xml:space="preserve">Contrastive learning is applied between local and global representations within both regulatory and embedding views. For each view </w:t>
      </w:r>
      <m:oMath>
        <m:r>
          <w:rPr>
            <w:rFonts w:ascii="Cambria Math" w:eastAsia="宋体" w:hAnsi="Cambria Math"/>
          </w:rPr>
          <m:t>v∈</m:t>
        </m:r>
        <m:r>
          <w:rPr>
            <w:rFonts w:ascii="DejaVu Math TeX Gyre" w:eastAsia="宋体" w:hAnsi="DejaVu Math TeX Gyre"/>
          </w:rPr>
          <m:t>{</m:t>
        </m:r>
        <m:r>
          <w:rPr>
            <w:rFonts w:ascii="Cambria Math" w:eastAsia="宋体" w:hAnsi="Cambria Math"/>
          </w:rPr>
          <m:t>RL,RG,EL,EG</m:t>
        </m:r>
        <m:r>
          <w:rPr>
            <w:rFonts w:ascii="DejaVu Math TeX Gyre" w:eastAsia="宋体" w:hAnsi="DejaVu Math TeX Gyre"/>
          </w:rPr>
          <m:t>}</m:t>
        </m:r>
      </m:oMath>
      <w:r>
        <w:rPr>
          <w:rFonts w:eastAsia="宋体" w:hint="eastAsia"/>
          <w:lang w:eastAsia="zh-CN"/>
        </w:rPr>
        <w:t>, node embeddin</w:t>
      </w:r>
      <w:proofErr w:type="spellStart"/>
      <w:r>
        <w:rPr>
          <w:rFonts w:eastAsia="宋体" w:hint="eastAsia"/>
          <w:lang w:eastAsia="zh-CN"/>
        </w:rPr>
        <w:t>gs</w:t>
      </w:r>
      <w:proofErr w:type="spellEnd"/>
      <w:r>
        <w:rPr>
          <w:rFonts w:eastAsia="宋体" w:hint="eastAsia"/>
          <w:lang w:eastAsia="zh-CN"/>
        </w:rPr>
        <w:t xml:space="preserve"> are projected into a latent space via an MLP: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=</m:t>
        </m:r>
        <m:r>
          <m:rPr>
            <m:sty m:val="p"/>
          </m:rPr>
          <w:rPr>
            <w:rFonts w:ascii="Cambria Math" w:eastAsia="宋体" w:hAnsi="Cambria Math"/>
          </w:rPr>
          <m:t>MLP</m:t>
        </m:r>
        <m:r>
          <m:rPr>
            <m:sty m:val="p"/>
          </m:rPr>
          <w:rPr>
            <w:rFonts w:ascii="DejaVu Math TeX Gyre" w:eastAsia="宋体" w:hAnsi="DejaVu Math TeX Gyre"/>
          </w:rPr>
          <m:t>(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. For paired views </w:t>
      </w:r>
      <m:oMath>
        <m:r>
          <w:rPr>
            <w:rFonts w:ascii="DejaVu Math TeX Gyre" w:eastAsia="宋体"/>
            <w:lang w:eastAsia="zh-CN"/>
          </w:rPr>
          <m:t>(</m:t>
        </m:r>
        <m:r>
          <w:rPr>
            <w:rFonts w:ascii="Cambria Math" w:eastAsia="宋体" w:hAnsi="Cambria Math"/>
          </w:rPr>
          <m:t>v,u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Ansi="Cambria Math" w:hint="eastAsia"/>
          <w:lang w:eastAsia="zh-CN"/>
        </w:rPr>
        <w:t xml:space="preserve">, </w:t>
      </w:r>
      <w:r>
        <w:rPr>
          <w:rFonts w:eastAsia="宋体" w:hint="eastAsia"/>
          <w:lang w:eastAsia="zh-CN"/>
        </w:rPr>
        <w:t xml:space="preserve">each node </w:t>
      </w:r>
      <m:oMath>
        <m:r>
          <w:rPr>
            <w:rFonts w:ascii="Cambria Math" w:eastAsia="宋体" w:hAnsi="Cambria Math"/>
          </w:rPr>
          <m:t>i</m:t>
        </m:r>
      </m:oMath>
      <w:r>
        <w:rPr>
          <w:rFonts w:eastAsia="宋体" w:hint="eastAsia"/>
          <w:lang w:eastAsia="zh-CN"/>
        </w:rPr>
        <w:t xml:space="preserve"> has a positive pair </w:t>
      </w:r>
      <m:oMath>
        <m:r>
          <m:rPr>
            <m:sty m:val="p"/>
          </m:rPr>
          <w:rPr>
            <w:rFonts w:ascii="DejaVu Math TeX Gyre" w:eastAsia="宋体"/>
            <w:lang w:eastAsia="zh-CN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v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u</m:t>
            </m:r>
          </m:sup>
        </m:sSubSup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and negatives </w:t>
      </w:r>
      <m:oMath>
        <m:r>
          <m:rPr>
            <m:sty m:val="p"/>
          </m:rPr>
          <w:rPr>
            <w:rFonts w:ascii="DejaVu Math TeX Gyre" w:eastAsia="宋体"/>
            <w:lang w:eastAsia="zh-CN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v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k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u</m:t>
            </m:r>
          </m:sup>
        </m:sSubSup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for </w:t>
      </w:r>
      <m:oMath>
        <m:r>
          <w:rPr>
            <w:rFonts w:ascii="Cambria Math" w:eastAsia="宋体" w:hAnsi="Cambria Math"/>
          </w:rPr>
          <m:t>k≠i</m:t>
        </m:r>
      </m:oMath>
      <w:r>
        <w:rPr>
          <w:rFonts w:eastAsia="宋体" w:hint="eastAsia"/>
          <w:lang w:eastAsia="zh-CN"/>
        </w:rPr>
        <w:t>. The symmetric InfoNCE loss is:</w:t>
      </w:r>
    </w:p>
    <w:p w14:paraId="23DF466F" w14:textId="77777777" w:rsidR="003B7FE1" w:rsidRDefault="00EF0798">
      <w:pPr>
        <w:pStyle w:val="equation"/>
        <w:rPr>
          <w:i/>
        </w:rPr>
      </w:pPr>
      <w:r>
        <w:rPr>
          <w:i/>
        </w:rPr>
        <w:lastRenderedPageBreak/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宋体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MS Mincho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v,u</m:t>
                  </m:r>
                </m:sub>
              </m:sSub>
              <m:r>
                <w:rPr>
                  <w:rFonts w:ascii="DejaVu Math TeX Gyre" w:eastAsia="宋体" w:hAnsi="DejaVu Math TeX Gyre"/>
                </w:rPr>
                <m:t>=-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DejaVu Math TeX Gyre" w:eastAsia="宋体" w:hAnsi="DejaVu Math TeX Gyre"/>
                    </w:rPr>
                    <m:t>1</m:t>
                  </m:r>
                </m:num>
                <m:den>
                  <m:r>
                    <w:rPr>
                      <w:rFonts w:ascii="DejaVu Math TeX Gyre" w:eastAsia="宋体" w:hAnsi="DejaVu Math TeX Gyre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  <m:r>
                    <w:rPr>
                      <w:rFonts w:ascii="DejaVu Math TeX Gyre" w:eastAsia="宋体" w:hAnsi="DejaVu Math TeX Gyre"/>
                    </w:rPr>
                    <m:t>=1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DejaVu Math TeX Gyre" w:eastAsia="宋体" w:hAnsi="DejaVu Math TeX Gyre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a,b</m:t>
                      </m:r>
                      <m:r>
                        <w:rPr>
                          <w:rFonts w:ascii="DejaVu Math TeX Gyre" w:eastAsia="宋体" w:hAnsi="DejaVu Math TeX Gyre"/>
                        </w:rPr>
                        <m:t>)</m:t>
                      </m:r>
                      <m:r>
                        <w:rPr>
                          <w:rFonts w:ascii="Cambria Math" w:eastAsia="宋体" w:hAnsi="Cambria Math"/>
                        </w:rPr>
                        <m:t>∈</m:t>
                      </m:r>
                      <m:r>
                        <w:rPr>
                          <w:rFonts w:ascii="DejaVu Math TeX Gyre" w:eastAsia="宋体" w:hAnsi="DejaVu Math TeX Gyre"/>
                        </w:rPr>
                        <m:t>{(</m:t>
                      </m:r>
                      <m:r>
                        <w:rPr>
                          <w:rFonts w:ascii="Cambria Math" w:eastAsia="宋体" w:hAnsi="Cambria Math"/>
                        </w:rPr>
                        <m:t>v,u</m:t>
                      </m:r>
                      <m:r>
                        <w:rPr>
                          <w:rFonts w:ascii="DejaVu Math TeX Gyre" w:eastAsia="宋体" w:hAnsi="DejaVu Math TeX Gyre"/>
                        </w:rPr>
                        <m:t>)</m:t>
                      </m:r>
                      <m:r>
                        <w:rPr>
                          <w:rFonts w:ascii="Cambria Math" w:eastAsia="宋体" w:hAnsi="Cambria Math"/>
                        </w:rPr>
                        <m:t>,</m:t>
                      </m:r>
                      <m:r>
                        <w:rPr>
                          <w:rFonts w:ascii="DejaVu Math TeX Gyre" w:eastAsia="宋体" w:hAnsi="DejaVu Math TeX Gyre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u,v</m:t>
                      </m:r>
                      <m:r>
                        <w:rPr>
                          <w:rFonts w:ascii="DejaVu Math TeX Gyre" w:eastAsia="宋体" w:hAnsi="DejaVu Math TeX Gyre"/>
                        </w:rPr>
                        <m:t>)}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DejaVu Math TeX Gyre" w:eastAsia="宋体" w:hAnsi="DejaVu Math TeX Gyre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exp</m:t>
                                  </m:r>
                                </m:fName>
                                <m:e>
                                  <m:r>
                                    <w:rPr>
                                      <w:rFonts w:ascii="DejaVu Math TeX Gyre" w:eastAsia="宋体" w:hAnsi="DejaVu Math TeX Gyre"/>
                                    </w:rPr>
                                    <m:t>(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宋体" w:hAnsi="Cambria Math"/>
                                </w:rPr>
                                <m:t>sim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a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b</m:t>
                                  </m:r>
                                </m:sup>
                              </m:sSubSup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)/</m:t>
                              </m:r>
                              <m:r>
                                <w:rPr>
                                  <w:rFonts w:ascii="Cambria Math" w:eastAsia="宋体" w:hAnsi="Cambria Math"/>
                                </w:rPr>
                                <m:t>τ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</m:t>
                              </m:r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N</m:t>
                                  </m:r>
                                </m:sup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="宋体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eastAsia="宋体" w:hAnsi="Cambria Math"/>
                                        </w:rPr>
                                        <m:t>exp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DejaVu Math TeX Gyre" w:eastAsia="宋体" w:hAnsi="DejaVu Math TeX Gyre"/>
                                        </w:rPr>
                                        <m:t>(</m:t>
                                      </m:r>
                                    </m:e>
                                  </m:func>
                                </m:e>
                              </m:nary>
                              <m:r>
                                <w:rPr>
                                  <w:rFonts w:ascii="Cambria Math" w:eastAsia="宋体" w:hAnsi="Cambria Math"/>
                                </w:rPr>
                                <m:t>sim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a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b</m:t>
                                  </m:r>
                                </m:sup>
                              </m:sSubSup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)/</m:t>
                              </m:r>
                              <m:r>
                                <w:rPr>
                                  <w:rFonts w:ascii="Cambria Math" w:eastAsia="宋体" w:hAnsi="Cambria Math"/>
                                </w:rPr>
                                <m:t>τ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</m:e>
                  </m:nary>
                </m:e>
              </m:nary>
            </m:e>
          </m:mr>
        </m:m>
      </m:oMath>
      <w:r>
        <w:rPr>
          <w:rFonts w:hint="eastAsia"/>
          <w:i/>
        </w:rPr>
        <w:t xml:space="preserve"> </w:t>
      </w:r>
      <w:r>
        <w:rPr>
          <w:rFonts w:eastAsia="宋体" w:hint="eastAsia"/>
          <w:i/>
          <w:lang w:eastAsia="zh-CN"/>
        </w:rPr>
        <w:t>.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8</w:t>
      </w:r>
      <w:r>
        <w:t>)</w:t>
      </w:r>
    </w:p>
    <w:p w14:paraId="479DD7E1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r>
          <w:rPr>
            <w:rFonts w:ascii="Cambria Math" w:eastAsia="宋体" w:hAnsi="Cambria Math"/>
          </w:rPr>
          <m:t>N</m:t>
        </m:r>
      </m:oMath>
      <w:r>
        <w:rPr>
          <w:rFonts w:eastAsia="宋体" w:hint="eastAsia"/>
          <w:lang w:eastAsia="zh-CN"/>
        </w:rPr>
        <w:t xml:space="preserve"> is the number of nodes, </w:t>
      </w:r>
      <m:oMath>
        <m:r>
          <w:rPr>
            <w:rFonts w:ascii="Cambria Math" w:eastAsia="宋体"/>
            <w:lang w:eastAsia="zh-CN"/>
          </w:rPr>
          <m:t>sim</m:t>
        </m:r>
        <m:r>
          <w:rPr>
            <w:rFonts w:ascii="DejaVu Math TeX Gyre" w:eastAsia="宋体" w:hAnsi="DejaVu Math TeX Gyre"/>
            <w:lang w:eastAsia="zh-CN"/>
          </w:rPr>
          <m:t>(</m:t>
        </m:r>
        <m:r>
          <w:rPr>
            <w:rFonts w:ascii="Cambria Math" w:eastAsia="宋体" w:hAnsi="Cambria Math"/>
          </w:rPr>
          <m:t>⋅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is cosine similarity function, and </w:t>
      </w:r>
      <m:oMath>
        <m:r>
          <w:rPr>
            <w:rFonts w:ascii="Cambria Math" w:eastAsia="宋体" w:hAnsi="Cambria Math"/>
          </w:rPr>
          <m:t>τ</m:t>
        </m:r>
      </m:oMath>
      <w:r>
        <w:rPr>
          <w:rFonts w:eastAsia="宋体" w:hint="eastAsia"/>
          <w:lang w:eastAsia="zh-CN"/>
        </w:rPr>
        <w:t xml:space="preserve"> is a temperature </w:t>
      </w:r>
      <w:proofErr w:type="gramStart"/>
      <w:r>
        <w:rPr>
          <w:rFonts w:eastAsia="宋体" w:hint="eastAsia"/>
          <w:lang w:eastAsia="zh-CN"/>
        </w:rPr>
        <w:t>hyperparameter.</w:t>
      </w:r>
      <w:proofErr w:type="gramEnd"/>
      <w:r>
        <w:rPr>
          <w:rFonts w:eastAsia="宋体" w:hint="eastAsia"/>
          <w:lang w:eastAsia="zh-CN"/>
        </w:rPr>
        <w:t xml:space="preserve"> We define two contrastive losses: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cl1</m:t>
            </m:r>
          </m:sub>
        </m:sSub>
      </m:oMath>
      <w:r>
        <w:rPr>
          <w:rFonts w:eastAsia="宋体" w:hint="eastAsia"/>
          <w:lang w:eastAsia="zh-CN"/>
        </w:rPr>
        <w:t xml:space="preserve"> for the </w:t>
      </w:r>
      <w:r>
        <w:rPr>
          <w:rFonts w:eastAsia="宋体"/>
          <w:lang w:eastAsia="zh-CN"/>
        </w:rPr>
        <w:t>r</w:t>
      </w:r>
      <w:r>
        <w:rPr>
          <w:rFonts w:eastAsia="宋体" w:hint="eastAsia"/>
          <w:lang w:eastAsia="zh-CN"/>
        </w:rPr>
        <w:t xml:space="preserve">egulatory perspective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cl2</m:t>
            </m:r>
          </m:sub>
        </m:sSub>
      </m:oMath>
      <w:r>
        <w:rPr>
          <w:rFonts w:eastAsia="宋体" w:hint="eastAsia"/>
          <w:lang w:eastAsia="zh-CN"/>
        </w:rPr>
        <w:t xml:space="preserve"> for the </w:t>
      </w:r>
      <w:r>
        <w:rPr>
          <w:rFonts w:eastAsia="宋体"/>
          <w:lang w:eastAsia="zh-CN"/>
        </w:rPr>
        <w:t>e</w:t>
      </w:r>
      <w:r>
        <w:rPr>
          <w:rFonts w:eastAsia="宋体" w:hint="eastAsia"/>
          <w:lang w:eastAsia="zh-CN"/>
        </w:rPr>
        <w:t>mbedding perspective.</w:t>
      </w:r>
    </w:p>
    <w:p w14:paraId="0D6FBE7D" w14:textId="77777777" w:rsidR="003B7FE1" w:rsidRDefault="00EF0798">
      <w:pPr>
        <w:pStyle w:val="3"/>
        <w:rPr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Inter-Space Fusion and PGIG Backbone Refinement. </w:t>
      </w:r>
      <w:r>
        <w:rPr>
          <w:rFonts w:hint="eastAsia"/>
          <w:lang w:eastAsia="zh-CN"/>
        </w:rPr>
        <w:t xml:space="preserve">To integrate heterogeneous signals local and global representations within each perspective are first concatenated: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 || 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RG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 || 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EG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rFonts w:hint="eastAsia"/>
          <w:lang w:eastAsia="zh-CN"/>
        </w:rPr>
        <w:t xml:space="preserve">. We then apply MLP transformations to project them into a shared latent space: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MLP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),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MLP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iCs/>
          <w:lang w:eastAsia="zh-CN"/>
        </w:rPr>
        <w:t>, and t</w:t>
      </w:r>
      <w:r>
        <w:rPr>
          <w:rFonts w:hint="eastAsia"/>
          <w:lang w:eastAsia="zh-CN"/>
        </w:rPr>
        <w:t xml:space="preserve">he unified feature matrix is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all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 xml:space="preserve"> || 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rFonts w:hint="eastAsia"/>
          <w:lang w:eastAsia="zh-CN"/>
        </w:rPr>
        <w:t>.</w:t>
      </w:r>
    </w:p>
    <w:p w14:paraId="12EB7C88" w14:textId="1E9EB2FA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 xml:space="preserve">Known miRNA-drug associations are encoded as a bipartite Prior-Guided Interaction Graph (PGIG). Let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∈{0,1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}</m:t>
            </m:r>
            <m:ctrlPr>
              <w:rPr>
                <w:rFonts w:ascii="Cambria Math" w:hAnsi="Cambria Math" w:hint="eastAsia"/>
                <w:lang w:eastAsia="zh-CN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sub>
            </m:sSub>
          </m:sup>
        </m:sSup>
      </m:oMath>
      <w:r>
        <w:rPr>
          <w:rFonts w:hAnsi="Cambria Math" w:hint="eastAsia"/>
          <w:lang w:eastAsia="zh-CN"/>
        </w:rPr>
        <w:t xml:space="preserve"> denote </w:t>
      </w:r>
      <w:r>
        <w:rPr>
          <w:rFonts w:hint="eastAsia"/>
          <w:lang w:eastAsia="zh-CN"/>
        </w:rPr>
        <w:t xml:space="preserve">the observed miRNA-drug association matrix. The PGIG adjacency matrix is defined by the block matrix: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  <m:ctrlPr>
                    <w:rPr>
                      <w:rFonts w:ascii="Cambria Math" w:hAnsi="Cambria Math" w:hint="eastAsia"/>
                      <w:i/>
                      <w:iCs/>
                      <w:lang w:eastAsia="zh-CN"/>
                    </w:rPr>
                  </m:ctrlP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  <w:iCs/>
                      <w:lang w:eastAsia="zh-CN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lang w:eastAsia="zh-CN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⊤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lang w:eastAsia="zh-CN"/>
                        </w:rPr>
                      </m:ctrlP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eastAsia="MS Mincho" w:cs="MS Mincho"/>
                <w:lang w:eastAsia="zh-C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)×(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sup>
        </m:sSup>
      </m:oMath>
      <w:r>
        <w:rPr>
          <w:rFonts w:hAnsi="Cambria Math" w:hint="eastAsia"/>
          <w:lang w:eastAsia="zh-CN"/>
        </w:rPr>
        <w:t>. To refine node representations,</w:t>
      </w:r>
      <w:r>
        <w:rPr>
          <w:rFonts w:hint="eastAsia"/>
          <w:lang w:eastAsia="zh-CN"/>
        </w:rPr>
        <w:t xml:space="preserve"> we adopt a collaborative filtering backbone with </w:t>
      </w:r>
      <w:proofErr w:type="spellStart"/>
      <w:r>
        <w:rPr>
          <w:rFonts w:hint="eastAsia"/>
          <w:lang w:eastAsia="zh-CN"/>
        </w:rPr>
        <w:t>LightGCN</w:t>
      </w:r>
      <w:proofErr w:type="spellEnd"/>
      <w:r>
        <w:rPr>
          <w:rFonts w:hint="eastAsia"/>
          <w:lang w:eastAsia="zh-CN"/>
        </w:rPr>
        <w:t xml:space="preserve"> propagation [</w:t>
      </w:r>
      <w:r w:rsidR="008C7EE4">
        <w:rPr>
          <w:lang w:eastAsia="zh-CN"/>
        </w:rPr>
        <w:t>29</w:t>
      </w:r>
      <w:r>
        <w:rPr>
          <w:rFonts w:hint="eastAsia"/>
          <w:lang w:eastAsia="zh-CN"/>
        </w:rPr>
        <w:t xml:space="preserve">]. Specifically, we apply symmetric degree normalization: </w:t>
      </w:r>
      <m:oMath>
        <m:acc>
          <m:accPr>
            <m:chr m:val="̃"/>
            <m:ctrlPr>
              <w:rPr>
                <w:rFonts w:ascii="Cambria Math" w:hAnsi="Cambria Math"/>
                <w:i/>
                <w:iCs/>
                <w:lang w:eastAsia="zh-CN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</m:acc>
        <m: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-1/2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-1/2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</m:oMath>
      <w:r>
        <w:rPr>
          <w:rFonts w:hAnsi="Cambria Math" w:hint="eastAsia"/>
          <w:lang w:eastAsia="zh-CN"/>
        </w:rPr>
        <w:t xml:space="preserve">, where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rFonts w:hint="eastAsia"/>
          <w:lang w:eastAsia="zh-CN"/>
        </w:rPr>
        <w:t xml:space="preserve"> i</w:t>
      </w:r>
      <w:proofErr w:type="spellStart"/>
      <w:r>
        <w:rPr>
          <w:rFonts w:hint="eastAsia"/>
          <w:lang w:eastAsia="zh-CN"/>
        </w:rPr>
        <w:t>s</w:t>
      </w:r>
      <w:proofErr w:type="spellEnd"/>
      <w:r>
        <w:rPr>
          <w:rFonts w:hint="eastAsia"/>
          <w:lang w:eastAsia="zh-CN"/>
        </w:rPr>
        <w:t xml:space="preserve"> the degree matrix of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rFonts w:hint="eastAsia"/>
          <w:lang w:eastAsia="zh-CN"/>
        </w:rPr>
        <w:t xml:space="preserve">. Starting from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(0)</m:t>
            </m:r>
            <m:ctrlPr>
              <w:rPr>
                <w:rFonts w:ascii="Cambria Math" w:hAnsi="Cambria Math" w:hint="eastAsia"/>
                <w:lang w:eastAsia="zh-CN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all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</m:oMath>
      <w:r>
        <w:rPr>
          <w:rFonts w:hAnsi="Cambria Math" w:hint="eastAsia"/>
          <w:lang w:eastAsia="zh-CN"/>
        </w:rPr>
        <w:t>,  propagation is defined as:</w:t>
      </w:r>
    </w:p>
    <w:p w14:paraId="6F152CF1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w:rPr>
                <w:rFonts w:ascii="DejaVu Math TeX Gyre" w:hAnsi="DejaVu Math TeX Gyre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+1)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>=</m:t>
        </m:r>
        <m:acc>
          <m:accPr>
            <m:chr m:val="̃"/>
            <m:ctrlPr>
              <w:rPr>
                <w:rFonts w:ascii="Cambria Math" w:hAnsi="Cambria Math"/>
                <w:i/>
                <w:iCs/>
                <w:lang w:eastAsia="zh-CN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</m:acc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 xml:space="preserve"> </m:t>
        </m:r>
      </m:oMath>
      <w:r>
        <w:rPr>
          <w:i/>
        </w:rPr>
        <w:tab/>
      </w:r>
      <w:r>
        <w:t>(</w:t>
      </w:r>
      <w:r>
        <w:rPr>
          <w:rFonts w:eastAsia="宋体" w:hint="eastAsia"/>
          <w:lang w:eastAsia="zh-CN"/>
        </w:rPr>
        <w:t>9</w:t>
      </w:r>
      <w:r>
        <w:t>)</w:t>
      </w:r>
    </w:p>
    <w:p w14:paraId="1A6A1AF4" w14:textId="77777777" w:rsidR="003B7FE1" w:rsidRDefault="00EF0798">
      <w:pPr>
        <w:pStyle w:val="a6"/>
        <w:shd w:val="clear" w:color="auto" w:fill="FFFFFF"/>
        <w:spacing w:beforeAutospacing="0" w:after="160" w:afterAutospacing="0"/>
        <w:ind w:firstLineChars="100" w:firstLine="200"/>
        <w:rPr>
          <w:rFonts w:hAnsi="Cambria Math"/>
          <w:sz w:val="20"/>
        </w:rPr>
      </w:pPr>
      <w:r>
        <w:rPr>
          <w:rFonts w:hAnsi="Cambria Math" w:hint="eastAsia"/>
          <w:sz w:val="20"/>
        </w:rPr>
        <w:t xml:space="preserve">Following </w:t>
      </w:r>
      <w:proofErr w:type="spellStart"/>
      <w:r>
        <w:rPr>
          <w:rFonts w:hAnsi="Cambria Math" w:hint="eastAsia"/>
          <w:sz w:val="20"/>
        </w:rPr>
        <w:t>LightGCN</w:t>
      </w:r>
      <w:proofErr w:type="spellEnd"/>
      <w:r>
        <w:rPr>
          <w:rFonts w:hAnsi="Cambria Math" w:hint="eastAsia"/>
          <w:sz w:val="20"/>
        </w:rPr>
        <w:t>, we obtain the final representation by averaging</w:t>
      </w:r>
      <w:r>
        <w:rPr>
          <w:rFonts w:hAnsi="Cambria Math"/>
          <w:sz w:val="20"/>
        </w:rPr>
        <w:t xml:space="preserve"> </w:t>
      </w:r>
      <w:r>
        <w:rPr>
          <w:rFonts w:hAnsi="Cambria Math" w:hint="eastAsia"/>
          <w:sz w:val="20"/>
        </w:rPr>
        <w:t>embeddings from all layers to capture high-order collaborative signals:</w:t>
      </w:r>
    </w:p>
    <w:p w14:paraId="7398D0CA" w14:textId="77777777" w:rsidR="003B7FE1" w:rsidRDefault="00EF0798">
      <w:pPr>
        <w:pStyle w:val="equation"/>
        <w:rPr>
          <w:rFonts w:eastAsia="宋体" w:hAnsi="Cambria Math"/>
          <w:lang w:eastAsia="zh-CN"/>
        </w:rPr>
      </w:pPr>
      <w:r>
        <w:rPr>
          <w:i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DejaVu Math TeX Gyre" w:hAnsi="DejaVu Math TeX Gyre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L</m:t>
            </m:r>
            <m:r>
              <w:rPr>
                <w:rFonts w:ascii="DejaVu Math TeX Gyre" w:hAnsi="DejaVu Math TeX Gyre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  <m:r>
              <w:rPr>
                <w:rFonts w:ascii="DejaVu Math TeX Gyre" w:hAnsi="DejaVu Math TeX Gyre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DejaVu Math TeX Gyre" w:hAnsi="DejaVu Math TeX Gyre"/>
                  </w:rPr>
                  <m:t>(</m:t>
                </m:r>
                <m:r>
                  <w:rPr>
                    <w:rFonts w:ascii="DejaVu Math TeX Gyre" w:hAnsi="DejaVu Math TeX Gyre"/>
                  </w:rPr>
                  <m:t>l</m:t>
                </m:r>
                <m:r>
                  <m:rPr>
                    <m:sty m:val="p"/>
                  </m:rPr>
                  <w:rPr>
                    <w:rFonts w:ascii="DejaVu Math TeX Gyre" w:hAnsi="DejaVu Math TeX Gyre"/>
                  </w:rPr>
                  <m:t>)</m:t>
                </m:r>
              </m:sup>
            </m:sSup>
            <m:ctrlPr>
              <w:rPr>
                <w:rFonts w:ascii="Cambria Math" w:hAnsi="Cambria Math"/>
              </w:rPr>
            </m:ctrlPr>
          </m:e>
        </m:nary>
      </m:oMath>
      <w:r>
        <w:rPr>
          <w:i/>
        </w:rPr>
        <w:tab/>
      </w:r>
      <w:r>
        <w:t>(10)</w:t>
      </w:r>
    </w:p>
    <w:p w14:paraId="488EC088" w14:textId="77777777" w:rsidR="003B7FE1" w:rsidRDefault="00EF0798">
      <w:pPr>
        <w:pStyle w:val="heading2"/>
        <w:rPr>
          <w:lang w:eastAsia="zh-CN"/>
        </w:rPr>
      </w:pPr>
      <w:r>
        <w:rPr>
          <w:rFonts w:hint="eastAsia"/>
          <w:lang w:eastAsia="zh-CN"/>
        </w:rPr>
        <w:t>Prediction of Potential miRNA-Drug Associations</w:t>
      </w:r>
    </w:p>
    <w:p w14:paraId="277CF1A8" w14:textId="77777777" w:rsidR="003B7FE1" w:rsidRDefault="00EF0798">
      <w:pPr>
        <w:ind w:firstLineChars="200" w:firstLine="400"/>
        <w:rPr>
          <w:lang w:eastAsia="zh-CN"/>
        </w:rPr>
      </w:pPr>
      <w:r>
        <w:rPr>
          <w:rFonts w:hint="eastAsia"/>
          <w:lang w:eastAsia="zh-CN"/>
        </w:rPr>
        <w:t xml:space="preserve">To capture complex interaction patterns between a given miRNA-drug pair </w:t>
      </w:r>
      <m:oMath>
        <m:r>
          <m:rPr>
            <m:sty m:val="p"/>
          </m:rPr>
          <w:rPr>
            <w:rFonts w:ascii="DejaVu Math TeX Gyre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, we extract their final representations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Fonts w:eastAsia="宋体" w:hAnsi="Cambria Math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rPr>
          <w:rFonts w:hint="eastAsia"/>
          <w:lang w:eastAsia="zh-CN"/>
        </w:rPr>
        <w:t xml:space="preserve"> and form a pairwise feature vector </w:t>
      </w:r>
      <m:oMath>
        <m:r>
          <w:rPr>
            <w:rFonts w:ascii="Cambria Math" w:hAnsi="Cambria Math"/>
          </w:rPr>
          <m:t>p</m:t>
        </m:r>
        <m:r>
          <w:rPr>
            <w:rFonts w:ascii="DejaVu Math TeX Gyre" w:hAnsi="DejaVu Math TeX Gyre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eastAsia="宋体" w:hAnsi="Cambria Math"/>
            <w:lang w:eastAsia="zh-CN"/>
          </w:rPr>
          <m:t xml:space="preserve"> </m:t>
        </m:r>
        <m:r>
          <w:rPr>
            <w:rFonts w:ascii="DejaVu Math TeX Gyre" w:eastAsia="宋体" w:hAnsi="DejaVu Math TeX Gyre"/>
            <w:lang w:eastAsia="zh-CN"/>
          </w:rPr>
          <m:t>||</m:t>
        </m:r>
        <m:r>
          <w:rPr>
            <w:rFonts w:ascii="Cambria Math" w:eastAsia="宋体" w:hAnsi="Cambria Math"/>
            <w:lang w:eastAsia="zh-CN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j</m:t>
                </m:r>
              </m:sub>
            </m:sSub>
          </m:sub>
        </m:sSub>
        <m:r>
          <w:rPr>
            <w:rFonts w:ascii="DejaVu Math TeX Gyre" w:hAnsi="DejaVu Math TeX Gyre"/>
          </w:rPr>
          <m:t>]</m:t>
        </m:r>
      </m:oMath>
      <w:r>
        <w:rPr>
          <w:rFonts w:hint="eastAsia"/>
          <w:lang w:eastAsia="zh-CN"/>
        </w:rPr>
        <w:t xml:space="preserve">. The association probability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  <w:lang w:eastAsia="zh-CN"/>
        </w:rPr>
        <w:t xml:space="preserve"> is estimated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DejaVu Math TeX Gyre" w:hAnsi="DejaVu Math TeX Gyre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DejaVu Math TeX Gyre" w:hAnsi="DejaVu Math TeX Gyre"/>
          </w:rPr>
          <m:t>(</m:t>
        </m:r>
        <m:r>
          <m:rPr>
            <m:sty m:val="p"/>
          </m:rPr>
          <w:rPr>
            <w:rFonts w:ascii="Cambria Math" w:hAnsi="Cambria Math"/>
          </w:rPr>
          <m:t>MLP</m:t>
        </m:r>
        <m:r>
          <m:rPr>
            <m:sty m:val="p"/>
          </m:rP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DejaVu Math TeX Gyre" w:hAnsi="DejaVu Math TeX Gyre"/>
          </w:rPr>
          <m:t>))</m:t>
        </m:r>
      </m:oMath>
      <w:r>
        <w:rPr>
          <w:rFonts w:hint="eastAsia"/>
          <w:lang w:eastAsia="zh-CN"/>
        </w:rPr>
        <w:t xml:space="preserve"> via a layer MLP. The final loss function is:</w:t>
      </w:r>
    </w:p>
    <w:p w14:paraId="7F4F821C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cl1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cl2</m:t>
            </m:r>
          </m:sub>
        </m:sSub>
      </m:oMath>
      <w:r>
        <w:rPr>
          <w:i/>
        </w:rPr>
        <w:tab/>
      </w:r>
      <w:r>
        <w:t>(</w:t>
      </w:r>
      <w:r>
        <w:rPr>
          <w:rFonts w:hint="eastAsia"/>
          <w:lang w:eastAsia="zh-CN"/>
        </w:rPr>
        <w:t>1</w:t>
      </w:r>
      <w:r>
        <w:rPr>
          <w:lang w:eastAsia="zh-CN"/>
        </w:rPr>
        <w:t>1</w:t>
      </w:r>
      <w:r>
        <w:t>)</w:t>
      </w:r>
    </w:p>
    <w:p w14:paraId="283F6256" w14:textId="77777777" w:rsidR="003B7FE1" w:rsidRDefault="00EF0798">
      <w:pPr>
        <w:ind w:firstLine="0"/>
        <w:rPr>
          <w:i/>
        </w:rPr>
      </w:pPr>
      <w:r>
        <w:rPr>
          <w:rFonts w:hint="eastAsia"/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</m:oMath>
      <w:r>
        <w:rPr>
          <w:rFonts w:hint="eastAsia"/>
          <w:lang w:eastAsia="zh-CN"/>
        </w:rPr>
        <w:t xml:space="preserve"> is the binary cross-entropy loss between predicted scores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  <w:lang w:eastAsia="zh-CN"/>
        </w:rPr>
        <w:t xml:space="preserve"> and </w:t>
      </w:r>
      <w:proofErr w:type="gramStart"/>
      <w:r>
        <w:rPr>
          <w:rFonts w:hint="eastAsia"/>
          <w:lang w:eastAsia="zh-CN"/>
        </w:rPr>
        <w:t>labels.</w:t>
      </w:r>
      <w:proofErr w:type="gramEnd"/>
      <w:r>
        <w:rPr>
          <w:rFonts w:hint="eastAsia"/>
          <w:lang w:eastAsia="zh-CN"/>
        </w:rPr>
        <w:t xml:space="preserve">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lang w:eastAsia="zh-CN"/>
        </w:rPr>
        <w:t xml:space="preserve"> weight the contrastive losses.</w:t>
      </w:r>
      <w:r>
        <w:rPr>
          <w:i/>
        </w:rPr>
        <w:tab/>
      </w:r>
    </w:p>
    <w:p w14:paraId="22AC41F4" w14:textId="77777777" w:rsidR="003B7FE1" w:rsidRDefault="00EF0798">
      <w:pPr>
        <w:pStyle w:val="heading1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Results</w:t>
      </w:r>
    </w:p>
    <w:p w14:paraId="456AF6C5" w14:textId="77777777" w:rsidR="003B7FE1" w:rsidRDefault="00EF0798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E</w:t>
      </w:r>
      <w:r>
        <w:rPr>
          <w:rFonts w:eastAsia="宋体" w:hint="eastAsia"/>
          <w:lang w:eastAsia="zh-CN"/>
        </w:rPr>
        <w:t xml:space="preserve">xperiments were conducted under five-fold cross-validation to evaluate GCFH-MDA, including </w:t>
      </w:r>
      <w:r>
        <w:rPr>
          <w:rFonts w:eastAsia="宋体"/>
          <w:lang w:eastAsia="zh-CN"/>
        </w:rPr>
        <w:t xml:space="preserve">baseline </w:t>
      </w:r>
      <w:r>
        <w:rPr>
          <w:rFonts w:eastAsia="宋体" w:hint="eastAsia"/>
          <w:lang w:eastAsia="zh-CN"/>
        </w:rPr>
        <w:t xml:space="preserve">comparisons, ablation, hyperparameter sensitivity, cold-start </w:t>
      </w:r>
      <w:r>
        <w:rPr>
          <w:rFonts w:eastAsia="宋体" w:hint="eastAsia"/>
          <w:lang w:eastAsia="zh-CN"/>
        </w:rPr>
        <w:lastRenderedPageBreak/>
        <w:t xml:space="preserve">evaluation, and case studies. The model was implemented in Python 3.8 and </w:t>
      </w:r>
      <w:proofErr w:type="spellStart"/>
      <w:r>
        <w:rPr>
          <w:rFonts w:eastAsia="宋体" w:hint="eastAsia"/>
          <w:lang w:eastAsia="zh-CN"/>
        </w:rPr>
        <w:t>PyTorch</w:t>
      </w:r>
      <w:proofErr w:type="spellEnd"/>
      <w:r>
        <w:rPr>
          <w:rFonts w:eastAsia="宋体" w:hint="eastAsia"/>
          <w:lang w:eastAsia="zh-CN"/>
        </w:rPr>
        <w:t xml:space="preserve"> v2.1.0 with CUDA on an NVIDIA RTX 4090 GPU. Adam was used with learning rate 0.001, batch size </w:t>
      </w:r>
      <w:r>
        <w:rPr>
          <w:rFonts w:eastAsia="宋体"/>
          <w:lang w:eastAsia="zh-CN"/>
        </w:rPr>
        <w:t>128</w:t>
      </w:r>
      <w:r>
        <w:rPr>
          <w:rFonts w:eastAsia="宋体" w:hint="eastAsia"/>
          <w:lang w:eastAsia="zh-CN"/>
        </w:rPr>
        <w:t xml:space="preserve">, and training for five epochs. </w:t>
      </w:r>
    </w:p>
    <w:p w14:paraId="3389C832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Evaluation Metrics</w:t>
      </w:r>
    </w:p>
    <w:p w14:paraId="47D1FDD4" w14:textId="77777777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lang w:eastAsia="zh-CN"/>
        </w:rPr>
        <w:t>V</w:t>
      </w:r>
      <w:r>
        <w:rPr>
          <w:rFonts w:hint="eastAsia"/>
          <w:lang w:eastAsia="zh-CN"/>
        </w:rPr>
        <w:t>erified miRNA-drug associations were treated as positive</w:t>
      </w:r>
      <w:r>
        <w:rPr>
          <w:lang w:eastAsia="zh-CN"/>
        </w:rPr>
        <w:t>s</w:t>
      </w:r>
      <w:r>
        <w:rPr>
          <w:rFonts w:hint="eastAsia"/>
          <w:lang w:eastAsia="zh-CN"/>
        </w:rPr>
        <w:t>, with an equal number of negatives sample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 from unknown pairs. Performance was assessed using Precision, Accuracy, Recall, F1-score, AUC, and AUPR. </w:t>
      </w:r>
      <w:r>
        <w:rPr>
          <w:rFonts w:eastAsia="宋体" w:hint="eastAsia"/>
          <w:lang w:eastAsia="zh-CN"/>
        </w:rPr>
        <w:t xml:space="preserve">In each </w:t>
      </w:r>
      <w:proofErr w:type="gramStart"/>
      <w:r>
        <w:rPr>
          <w:rFonts w:eastAsia="宋体" w:hint="eastAsia"/>
          <w:lang w:eastAsia="zh-CN"/>
        </w:rPr>
        <w:t xml:space="preserve">fold,  </w:t>
      </w:r>
      <w:r>
        <w:rPr>
          <w:rFonts w:eastAsia="宋体"/>
          <w:lang w:eastAsia="zh-CN"/>
        </w:rPr>
        <w:t>the</w:t>
      </w:r>
      <w:proofErr w:type="gramEnd"/>
      <w:r>
        <w:rPr>
          <w:rFonts w:eastAsia="宋体"/>
          <w:lang w:eastAsia="zh-CN"/>
        </w:rPr>
        <w:t xml:space="preserve"> PGIG was constructed from training data only</w:t>
      </w:r>
      <w:r>
        <w:rPr>
          <w:rFonts w:eastAsia="宋体" w:hAnsi="Cambria Math" w:hint="eastAsia"/>
          <w:lang w:eastAsia="zh-CN"/>
        </w:rPr>
        <w:t xml:space="preserve">. </w:t>
      </w:r>
      <w:r>
        <w:rPr>
          <w:rFonts w:hint="eastAsia"/>
          <w:lang w:eastAsia="zh-CN"/>
        </w:rPr>
        <w:t xml:space="preserve">As </w:t>
      </w:r>
      <w:r>
        <w:rPr>
          <w:lang w:eastAsia="zh-CN"/>
        </w:rPr>
        <w:t xml:space="preserve">shown </w:t>
      </w:r>
      <w:r>
        <w:rPr>
          <w:rFonts w:hint="eastAsia"/>
          <w:lang w:eastAsia="zh-CN"/>
        </w:rPr>
        <w:t xml:space="preserve">in Table 1, </w:t>
      </w:r>
      <w:r>
        <w:rPr>
          <w:rFonts w:eastAsia="宋体" w:hint="eastAsia"/>
          <w:lang w:eastAsia="zh-CN"/>
        </w:rPr>
        <w:t>GCFH</w:t>
      </w:r>
      <w:r>
        <w:rPr>
          <w:rFonts w:hint="eastAsia"/>
          <w:lang w:eastAsia="zh-CN"/>
        </w:rPr>
        <w:t>-MDA achieve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 an average AUC of 96.64% ± 0.26 and AUPR of 96.04% ± 0.34.</w:t>
      </w:r>
    </w:p>
    <w:p w14:paraId="5E039BC9" w14:textId="77777777" w:rsidR="003B7FE1" w:rsidRDefault="00EF0798">
      <w:pPr>
        <w:pStyle w:val="tablecaption"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>.</w:t>
      </w:r>
      <w:r>
        <w:t xml:space="preserve"> </w:t>
      </w:r>
      <w:r>
        <w:rPr>
          <w:rFonts w:hint="eastAsia"/>
        </w:rPr>
        <w:t xml:space="preserve">Performance of </w:t>
      </w:r>
      <w:r>
        <w:rPr>
          <w:rFonts w:eastAsia="宋体" w:hint="eastAsia"/>
          <w:lang w:eastAsia="zh-CN"/>
        </w:rPr>
        <w:t>GCFH</w:t>
      </w:r>
      <w:r>
        <w:rPr>
          <w:rFonts w:hint="eastAsia"/>
        </w:rPr>
        <w:t>-MDA under five-fold cross-validation</w:t>
      </w:r>
      <w:r>
        <w:t>.</w:t>
      </w:r>
    </w:p>
    <w:tbl>
      <w:tblPr>
        <w:tblW w:w="789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"/>
        <w:gridCol w:w="1177"/>
        <w:gridCol w:w="1185"/>
        <w:gridCol w:w="1170"/>
        <w:gridCol w:w="1232"/>
        <w:gridCol w:w="1190"/>
        <w:gridCol w:w="1216"/>
      </w:tblGrid>
      <w:tr w:rsidR="003B7FE1" w14:paraId="26CF721E" w14:textId="77777777">
        <w:trPr>
          <w:jc w:val="center"/>
        </w:trPr>
        <w:tc>
          <w:tcPr>
            <w:tcW w:w="72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B7C4BD4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Fold</w:t>
            </w:r>
          </w:p>
        </w:tc>
        <w:tc>
          <w:tcPr>
            <w:tcW w:w="117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A75EDBC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AUC(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8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92E50D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AUPR(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0DF1DCC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Precision(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23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A86D39B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Accuracy(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9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170B98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Recall(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216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C893553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F1-</w:t>
            </w: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score(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</w:tr>
      <w:tr w:rsidR="003B7FE1" w14:paraId="3811BC32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7F59AEE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177" w:type="dxa"/>
            <w:vAlign w:val="center"/>
          </w:tcPr>
          <w:p w14:paraId="2E96E09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96.37</w:t>
            </w:r>
          </w:p>
        </w:tc>
        <w:tc>
          <w:tcPr>
            <w:tcW w:w="1185" w:type="dxa"/>
            <w:vAlign w:val="center"/>
          </w:tcPr>
          <w:p w14:paraId="6D335F5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95.76</w:t>
            </w:r>
          </w:p>
        </w:tc>
        <w:tc>
          <w:tcPr>
            <w:tcW w:w="1170" w:type="dxa"/>
            <w:vAlign w:val="center"/>
          </w:tcPr>
          <w:p w14:paraId="66DC8B6D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87.04</w:t>
            </w:r>
          </w:p>
        </w:tc>
        <w:tc>
          <w:tcPr>
            <w:tcW w:w="1232" w:type="dxa"/>
            <w:vAlign w:val="center"/>
          </w:tcPr>
          <w:p w14:paraId="35DDCF1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90.39</w:t>
            </w:r>
          </w:p>
        </w:tc>
        <w:tc>
          <w:tcPr>
            <w:tcW w:w="1190" w:type="dxa"/>
            <w:vAlign w:val="center"/>
          </w:tcPr>
          <w:p w14:paraId="195F17FA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93.77</w:t>
            </w:r>
          </w:p>
        </w:tc>
        <w:tc>
          <w:tcPr>
            <w:tcW w:w="1216" w:type="dxa"/>
            <w:vAlign w:val="center"/>
          </w:tcPr>
          <w:p w14:paraId="70278B2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90.67</w:t>
            </w:r>
          </w:p>
        </w:tc>
      </w:tr>
      <w:tr w:rsidR="003B7FE1" w14:paraId="74CBD7F0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1B6D950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177" w:type="dxa"/>
            <w:vAlign w:val="center"/>
          </w:tcPr>
          <w:p w14:paraId="55FAA5E6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96.57</w:t>
            </w:r>
          </w:p>
        </w:tc>
        <w:tc>
          <w:tcPr>
            <w:tcW w:w="1185" w:type="dxa"/>
            <w:vAlign w:val="center"/>
          </w:tcPr>
          <w:p w14:paraId="0BBB548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95.75</w:t>
            </w:r>
          </w:p>
        </w:tc>
        <w:tc>
          <w:tcPr>
            <w:tcW w:w="1170" w:type="dxa"/>
            <w:vAlign w:val="center"/>
          </w:tcPr>
          <w:p w14:paraId="2CA68F1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86.09</w:t>
            </w:r>
          </w:p>
        </w:tc>
        <w:tc>
          <w:tcPr>
            <w:tcW w:w="1232" w:type="dxa"/>
            <w:vAlign w:val="center"/>
          </w:tcPr>
          <w:p w14:paraId="0CCB58B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91.25</w:t>
            </w:r>
          </w:p>
        </w:tc>
        <w:tc>
          <w:tcPr>
            <w:tcW w:w="1190" w:type="dxa"/>
            <w:vAlign w:val="center"/>
          </w:tcPr>
          <w:p w14:paraId="701740A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96.35</w:t>
            </w:r>
          </w:p>
        </w:tc>
        <w:tc>
          <w:tcPr>
            <w:tcW w:w="1216" w:type="dxa"/>
            <w:vAlign w:val="center"/>
          </w:tcPr>
          <w:p w14:paraId="4717BD7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91.72</w:t>
            </w:r>
          </w:p>
        </w:tc>
      </w:tr>
      <w:tr w:rsidR="003B7FE1" w14:paraId="5C985D75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4B28195C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177" w:type="dxa"/>
            <w:vAlign w:val="center"/>
          </w:tcPr>
          <w:p w14:paraId="5C61ABF9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97.13</w:t>
            </w:r>
          </w:p>
        </w:tc>
        <w:tc>
          <w:tcPr>
            <w:tcW w:w="1185" w:type="dxa"/>
            <w:vAlign w:val="center"/>
          </w:tcPr>
          <w:p w14:paraId="2A0F4939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96.66</w:t>
            </w:r>
          </w:p>
        </w:tc>
        <w:tc>
          <w:tcPr>
            <w:tcW w:w="1170" w:type="dxa"/>
            <w:vAlign w:val="center"/>
          </w:tcPr>
          <w:p w14:paraId="2778DA6A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90.59</w:t>
            </w:r>
          </w:p>
        </w:tc>
        <w:tc>
          <w:tcPr>
            <w:tcW w:w="1232" w:type="dxa"/>
            <w:vAlign w:val="center"/>
          </w:tcPr>
          <w:p w14:paraId="625FCBA7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91.42</w:t>
            </w:r>
          </w:p>
        </w:tc>
        <w:tc>
          <w:tcPr>
            <w:tcW w:w="1190" w:type="dxa"/>
            <w:vAlign w:val="center"/>
          </w:tcPr>
          <w:p w14:paraId="1014B9E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92.29</w:t>
            </w:r>
          </w:p>
        </w:tc>
        <w:tc>
          <w:tcPr>
            <w:tcW w:w="1216" w:type="dxa"/>
            <w:vAlign w:val="center"/>
          </w:tcPr>
          <w:p w14:paraId="062BE26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91.35</w:t>
            </w:r>
          </w:p>
        </w:tc>
      </w:tr>
      <w:tr w:rsidR="003B7FE1" w14:paraId="124B7F52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5C46308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177" w:type="dxa"/>
            <w:vAlign w:val="center"/>
          </w:tcPr>
          <w:p w14:paraId="0BBFF7B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96.61</w:t>
            </w:r>
          </w:p>
        </w:tc>
        <w:tc>
          <w:tcPr>
            <w:tcW w:w="1185" w:type="dxa"/>
            <w:vAlign w:val="center"/>
          </w:tcPr>
          <w:p w14:paraId="5E8F176C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95.86</w:t>
            </w:r>
          </w:p>
        </w:tc>
        <w:tc>
          <w:tcPr>
            <w:tcW w:w="1170" w:type="dxa"/>
            <w:vAlign w:val="center"/>
          </w:tcPr>
          <w:p w14:paraId="3282725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89.05</w:t>
            </w:r>
          </w:p>
        </w:tc>
        <w:tc>
          <w:tcPr>
            <w:tcW w:w="1232" w:type="dxa"/>
            <w:vAlign w:val="center"/>
          </w:tcPr>
          <w:p w14:paraId="5168260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91.33</w:t>
            </w:r>
          </w:p>
        </w:tc>
        <w:tc>
          <w:tcPr>
            <w:tcW w:w="1190" w:type="dxa"/>
            <w:vAlign w:val="center"/>
          </w:tcPr>
          <w:p w14:paraId="2386BE0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93.67</w:t>
            </w:r>
          </w:p>
        </w:tc>
        <w:tc>
          <w:tcPr>
            <w:tcW w:w="1216" w:type="dxa"/>
            <w:vAlign w:val="center"/>
          </w:tcPr>
          <w:p w14:paraId="03348E8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91.44</w:t>
            </w:r>
          </w:p>
        </w:tc>
      </w:tr>
      <w:tr w:rsidR="003B7FE1" w14:paraId="16E51626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756036D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177" w:type="dxa"/>
            <w:vAlign w:val="center"/>
          </w:tcPr>
          <w:p w14:paraId="0723F27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95.51</w:t>
            </w:r>
          </w:p>
        </w:tc>
        <w:tc>
          <w:tcPr>
            <w:tcW w:w="1185" w:type="dxa"/>
            <w:vAlign w:val="center"/>
          </w:tcPr>
          <w:p w14:paraId="09190FCE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96.12</w:t>
            </w:r>
          </w:p>
        </w:tc>
        <w:tc>
          <w:tcPr>
            <w:tcW w:w="1170" w:type="dxa"/>
            <w:vAlign w:val="center"/>
          </w:tcPr>
          <w:p w14:paraId="2180062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88.79</w:t>
            </w:r>
          </w:p>
        </w:tc>
        <w:tc>
          <w:tcPr>
            <w:tcW w:w="1232" w:type="dxa"/>
            <w:vAlign w:val="center"/>
          </w:tcPr>
          <w:p w14:paraId="47783E5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91.56</w:t>
            </w:r>
          </w:p>
        </w:tc>
        <w:tc>
          <w:tcPr>
            <w:tcW w:w="1190" w:type="dxa"/>
            <w:vAlign w:val="center"/>
          </w:tcPr>
          <w:p w14:paraId="6AFB557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94.19</w:t>
            </w:r>
          </w:p>
        </w:tc>
        <w:tc>
          <w:tcPr>
            <w:tcW w:w="1216" w:type="dxa"/>
            <w:vAlign w:val="center"/>
          </w:tcPr>
          <w:p w14:paraId="470B486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91.98</w:t>
            </w:r>
          </w:p>
        </w:tc>
      </w:tr>
      <w:tr w:rsidR="003B7FE1" w14:paraId="58FB67AD" w14:textId="77777777">
        <w:trPr>
          <w:trHeight w:val="284"/>
          <w:jc w:val="center"/>
        </w:trPr>
        <w:tc>
          <w:tcPr>
            <w:tcW w:w="725" w:type="dxa"/>
            <w:tcBorders>
              <w:bottom w:val="single" w:sz="12" w:space="0" w:color="000000"/>
            </w:tcBorders>
            <w:vAlign w:val="center"/>
          </w:tcPr>
          <w:p w14:paraId="6D8F5FE8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Mean</w:t>
            </w:r>
          </w:p>
        </w:tc>
        <w:tc>
          <w:tcPr>
            <w:tcW w:w="1177" w:type="dxa"/>
            <w:tcBorders>
              <w:bottom w:val="single" w:sz="12" w:space="0" w:color="000000"/>
            </w:tcBorders>
            <w:vAlign w:val="center"/>
          </w:tcPr>
          <w:p w14:paraId="305F38A6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96.64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0.26</w:t>
            </w:r>
          </w:p>
        </w:tc>
        <w:tc>
          <w:tcPr>
            <w:tcW w:w="1185" w:type="dxa"/>
            <w:tcBorders>
              <w:bottom w:val="single" w:sz="12" w:space="0" w:color="000000"/>
            </w:tcBorders>
            <w:vAlign w:val="center"/>
          </w:tcPr>
          <w:p w14:paraId="500D0B66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96.04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0.34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  <w:vAlign w:val="center"/>
          </w:tcPr>
          <w:p w14:paraId="1F7B32C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88.95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1.71</w:t>
            </w:r>
          </w:p>
        </w:tc>
        <w:tc>
          <w:tcPr>
            <w:tcW w:w="1232" w:type="dxa"/>
            <w:tcBorders>
              <w:bottom w:val="single" w:sz="12" w:space="0" w:color="000000"/>
            </w:tcBorders>
            <w:vAlign w:val="center"/>
          </w:tcPr>
          <w:p w14:paraId="5456E2C4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91.19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0.42</w:t>
            </w:r>
          </w:p>
        </w:tc>
        <w:tc>
          <w:tcPr>
            <w:tcW w:w="1190" w:type="dxa"/>
            <w:tcBorders>
              <w:bottom w:val="single" w:sz="12" w:space="0" w:color="000000"/>
            </w:tcBorders>
            <w:vAlign w:val="center"/>
          </w:tcPr>
          <w:p w14:paraId="24464C13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94.05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1.42</w:t>
            </w:r>
          </w:p>
        </w:tc>
        <w:tc>
          <w:tcPr>
            <w:tcW w:w="1216" w:type="dxa"/>
            <w:tcBorders>
              <w:bottom w:val="single" w:sz="12" w:space="0" w:color="000000"/>
            </w:tcBorders>
            <w:vAlign w:val="center"/>
          </w:tcPr>
          <w:p w14:paraId="37E14AB2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91.43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0.47</w:t>
            </w:r>
          </w:p>
        </w:tc>
      </w:tr>
    </w:tbl>
    <w:p w14:paraId="3FC54FF5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Comparison with State-of-the-Art Methods</w:t>
      </w:r>
    </w:p>
    <w:p w14:paraId="0F994A5D" w14:textId="6F4C55F7" w:rsidR="003B7FE1" w:rsidRDefault="00EF0798">
      <w:pPr>
        <w:rPr>
          <w:lang w:eastAsia="zh-CN"/>
        </w:rPr>
      </w:pPr>
      <w:r>
        <w:rPr>
          <w:rFonts w:hint="eastAsia"/>
          <w:lang w:eastAsia="zh-CN"/>
        </w:rPr>
        <w:t>GCFH-MDA was compared</w:t>
      </w:r>
      <w:r>
        <w:rPr>
          <w:lang w:eastAsia="zh-CN"/>
        </w:rPr>
        <w:t xml:space="preserve"> with </w:t>
      </w:r>
      <w:r>
        <w:rPr>
          <w:rFonts w:hint="eastAsia"/>
          <w:lang w:eastAsia="zh-CN"/>
        </w:rPr>
        <w:t>seven representative methods (DLST-MDA [</w:t>
      </w:r>
      <w:r w:rsidR="008461CF">
        <w:rPr>
          <w:lang w:eastAsia="zh-CN"/>
        </w:rPr>
        <w:t>12</w:t>
      </w:r>
      <w:r>
        <w:rPr>
          <w:rFonts w:hint="eastAsia"/>
          <w:lang w:eastAsia="zh-CN"/>
        </w:rPr>
        <w:t xml:space="preserve">], </w:t>
      </w:r>
    </w:p>
    <w:p w14:paraId="06C69BE5" w14:textId="280E35BA" w:rsidR="003B7FE1" w:rsidRDefault="00EF0798">
      <w:pPr>
        <w:ind w:firstLine="0"/>
        <w:rPr>
          <w:lang w:eastAsia="zh-CN"/>
        </w:rPr>
      </w:pPr>
      <w:r>
        <w:rPr>
          <w:rFonts w:hint="eastAsia"/>
          <w:lang w:eastAsia="zh-CN"/>
        </w:rPr>
        <w:t>NASMDR [</w:t>
      </w:r>
      <w:r w:rsidR="008461CF">
        <w:rPr>
          <w:lang w:eastAsia="zh-CN"/>
        </w:rPr>
        <w:t>13</w:t>
      </w:r>
      <w:r>
        <w:rPr>
          <w:rFonts w:hint="eastAsia"/>
          <w:lang w:eastAsia="zh-CN"/>
        </w:rPr>
        <w:t>], DMGAT [</w:t>
      </w:r>
      <w:r w:rsidR="008461CF">
        <w:rPr>
          <w:lang w:eastAsia="zh-CN"/>
        </w:rPr>
        <w:t>14</w:t>
      </w:r>
      <w:r>
        <w:rPr>
          <w:rFonts w:hint="eastAsia"/>
          <w:lang w:eastAsia="zh-CN"/>
        </w:rPr>
        <w:t xml:space="preserve">], </w:t>
      </w:r>
      <w:proofErr w:type="spellStart"/>
      <w:r>
        <w:rPr>
          <w:rFonts w:hint="eastAsia"/>
          <w:lang w:eastAsia="zh-CN"/>
        </w:rPr>
        <w:t>DARSFormer</w:t>
      </w:r>
      <w:proofErr w:type="spellEnd"/>
      <w:r>
        <w:rPr>
          <w:rFonts w:hint="eastAsia"/>
          <w:lang w:eastAsia="zh-CN"/>
        </w:rPr>
        <w:t xml:space="preserve"> [</w:t>
      </w:r>
      <w:r w:rsidR="008461CF">
        <w:rPr>
          <w:lang w:eastAsia="zh-CN"/>
        </w:rPr>
        <w:t>15</w:t>
      </w:r>
      <w:r>
        <w:rPr>
          <w:rFonts w:hint="eastAsia"/>
          <w:lang w:eastAsia="zh-CN"/>
        </w:rPr>
        <w:t xml:space="preserve">], </w:t>
      </w:r>
      <w:proofErr w:type="spellStart"/>
      <w:r>
        <w:rPr>
          <w:rFonts w:hint="eastAsia"/>
          <w:lang w:eastAsia="zh-CN"/>
        </w:rPr>
        <w:t>GraphTGI</w:t>
      </w:r>
      <w:proofErr w:type="spellEnd"/>
      <w:r>
        <w:rPr>
          <w:rFonts w:hint="eastAsia"/>
          <w:lang w:eastAsia="zh-CN"/>
        </w:rPr>
        <w:t xml:space="preserve"> [</w:t>
      </w:r>
      <w:r w:rsidR="008461CF">
        <w:rPr>
          <w:lang w:eastAsia="zh-CN"/>
        </w:rPr>
        <w:t>16</w:t>
      </w:r>
      <w:r>
        <w:rPr>
          <w:rFonts w:hint="eastAsia"/>
          <w:lang w:eastAsia="zh-CN"/>
        </w:rPr>
        <w:t>], SSLMCD [</w:t>
      </w:r>
      <w:r w:rsidR="008461CF">
        <w:rPr>
          <w:lang w:eastAsia="zh-CN"/>
        </w:rPr>
        <w:t>17</w:t>
      </w:r>
      <w:r>
        <w:rPr>
          <w:rFonts w:hint="eastAsia"/>
          <w:lang w:eastAsia="zh-CN"/>
        </w:rPr>
        <w:t>], and MGCNA [</w:t>
      </w:r>
      <w:r w:rsidR="008461CF">
        <w:rPr>
          <w:lang w:eastAsia="zh-CN"/>
        </w:rPr>
        <w:t>18</w:t>
      </w:r>
      <w:r>
        <w:rPr>
          <w:rFonts w:hint="eastAsia"/>
          <w:lang w:eastAsia="zh-CN"/>
        </w:rPr>
        <w:t xml:space="preserve">]) under five-fold cross-validation. All baselines were re-trained using official codes. As shown in Fig. 2, GCFH-MDA achieves the </w:t>
      </w:r>
      <w:r>
        <w:rPr>
          <w:lang w:eastAsia="zh-CN"/>
        </w:rPr>
        <w:t xml:space="preserve">best </w:t>
      </w:r>
      <w:r>
        <w:rPr>
          <w:rFonts w:hint="eastAsia"/>
          <w:lang w:eastAsia="zh-CN"/>
        </w:rPr>
        <w:t xml:space="preserve">performance </w:t>
      </w:r>
      <w:r>
        <w:rPr>
          <w:lang w:eastAsia="zh-CN"/>
        </w:rPr>
        <w:t xml:space="preserve">on most </w:t>
      </w:r>
      <w:r>
        <w:rPr>
          <w:rFonts w:hint="eastAsia"/>
          <w:lang w:eastAsia="zh-CN"/>
        </w:rPr>
        <w:t xml:space="preserve">metrics, </w:t>
      </w:r>
      <w:r>
        <w:rPr>
          <w:lang w:eastAsia="zh-CN"/>
        </w:rPr>
        <w:t>improving</w:t>
      </w:r>
      <w:r>
        <w:rPr>
          <w:rFonts w:hint="eastAsia"/>
          <w:lang w:eastAsia="zh-CN"/>
        </w:rPr>
        <w:t xml:space="preserve"> AUC and AUPR </w:t>
      </w:r>
      <w:r>
        <w:rPr>
          <w:lang w:eastAsia="zh-CN"/>
        </w:rPr>
        <w:t>by</w:t>
      </w:r>
      <w:r>
        <w:rPr>
          <w:rFonts w:hint="eastAsia"/>
          <w:lang w:eastAsia="zh-CN"/>
        </w:rPr>
        <w:t xml:space="preserve"> 0.70% and 0.85% over SSLMCD. </w:t>
      </w:r>
      <w:r>
        <w:rPr>
          <w:lang w:eastAsia="zh-CN"/>
        </w:rPr>
        <w:t>with statistically</w:t>
      </w:r>
      <w:r>
        <w:rPr>
          <w:rFonts w:hint="eastAsia"/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 xml:space="preserve">significant  </w:t>
      </w:r>
      <w:r>
        <w:rPr>
          <w:lang w:eastAsia="zh-CN"/>
        </w:rPr>
        <w:t>gains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(p</w:t>
      </w:r>
      <w:r>
        <w:rPr>
          <w:lang w:eastAsia="zh-CN"/>
        </w:rPr>
        <w:t xml:space="preserve"> &lt; </w:t>
      </w:r>
      <w:r>
        <w:rPr>
          <w:rFonts w:hint="eastAsia"/>
          <w:lang w:eastAsia="zh-CN"/>
        </w:rPr>
        <w:t>0.05). These improvements benefit from integrating biological priors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 xml:space="preserve">multimodal information, </w:t>
      </w:r>
      <w:r>
        <w:rPr>
          <w:lang w:eastAsia="zh-CN"/>
        </w:rPr>
        <w:t>and</w:t>
      </w:r>
      <w:r>
        <w:rPr>
          <w:rFonts w:hint="eastAsia"/>
          <w:lang w:eastAsia="zh-CN"/>
        </w:rPr>
        <w:t xml:space="preserve"> geodesic augmentation.</w:t>
      </w:r>
    </w:p>
    <w:p w14:paraId="0C5745F5" w14:textId="77777777" w:rsidR="003B7FE1" w:rsidRDefault="00EF0798">
      <w:pPr>
        <w:jc w:val="center"/>
        <w:rPr>
          <w:rFonts w:eastAsiaTheme="minorEastAsia"/>
          <w:lang w:eastAsia="zh-CN"/>
        </w:rPr>
      </w:pPr>
      <w:r>
        <w:rPr>
          <w:noProof/>
        </w:rPr>
        <w:drawing>
          <wp:inline distT="0" distB="0" distL="114300" distR="114300" wp14:anchorId="242A7880" wp14:editId="0C5D9DF2">
            <wp:extent cx="4369435" cy="1821180"/>
            <wp:effectExtent l="0" t="0" r="247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9077" w14:textId="77777777" w:rsidR="003B7FE1" w:rsidRDefault="00EF0798">
      <w:pPr>
        <w:pStyle w:val="figurecaption"/>
        <w:jc w:val="both"/>
        <w:rPr>
          <w:lang w:eastAsia="zh-CN"/>
        </w:rPr>
      </w:pPr>
      <w:r>
        <w:rPr>
          <w:b/>
        </w:rPr>
        <w:t xml:space="preserve">Fig. </w:t>
      </w:r>
      <w:r>
        <w:rPr>
          <w:rFonts w:eastAsia="宋体" w:hint="eastAsia"/>
          <w:b/>
          <w:lang w:eastAsia="zh-CN"/>
        </w:rPr>
        <w:t>2</w:t>
      </w:r>
      <w:r>
        <w:t xml:space="preserve"> </w:t>
      </w:r>
      <w:r>
        <w:rPr>
          <w:rFonts w:hint="eastAsia"/>
        </w:rPr>
        <w:t xml:space="preserve">Performance comparison of </w:t>
      </w:r>
      <w:r>
        <w:rPr>
          <w:rFonts w:eastAsia="宋体" w:hint="eastAsia"/>
          <w:lang w:eastAsia="zh-CN"/>
        </w:rPr>
        <w:t>GCFH</w:t>
      </w:r>
      <w:r>
        <w:rPr>
          <w:rFonts w:hint="eastAsia"/>
        </w:rPr>
        <w:t>-MDA with baseline methods</w:t>
      </w:r>
      <w:r>
        <w:t>.</w:t>
      </w:r>
    </w:p>
    <w:p w14:paraId="6E69CB24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Ablation Study</w:t>
      </w:r>
    </w:p>
    <w:p w14:paraId="6BA320D5" w14:textId="77777777" w:rsidR="003B7FE1" w:rsidRDefault="00EF0798">
      <w:pPr>
        <w:rPr>
          <w:lang w:eastAsia="zh-CN"/>
        </w:rPr>
      </w:pPr>
      <w:r>
        <w:rPr>
          <w:rFonts w:hint="eastAsia"/>
          <w:lang w:eastAsia="zh-CN"/>
        </w:rPr>
        <w:t xml:space="preserve">Ablation experiments were conducted to </w:t>
      </w:r>
      <w:r>
        <w:rPr>
          <w:lang w:eastAsia="zh-CN"/>
        </w:rPr>
        <w:t xml:space="preserve">assess </w:t>
      </w:r>
      <w:r>
        <w:rPr>
          <w:rFonts w:hint="eastAsia"/>
          <w:lang w:eastAsia="zh-CN"/>
        </w:rPr>
        <w:t xml:space="preserve">the contribution of each component. </w:t>
      </w:r>
      <w:r>
        <w:rPr>
          <w:lang w:eastAsia="zh-CN"/>
        </w:rPr>
        <w:t xml:space="preserve">As shown in </w:t>
      </w:r>
      <w:r>
        <w:rPr>
          <w:rFonts w:hint="eastAsia"/>
          <w:lang w:eastAsia="zh-CN"/>
        </w:rPr>
        <w:t xml:space="preserve">Fig. </w:t>
      </w:r>
      <w:proofErr w:type="gramStart"/>
      <w:r>
        <w:rPr>
          <w:rFonts w:hint="eastAsia"/>
          <w:lang w:eastAsia="zh-CN"/>
        </w:rPr>
        <w:t>3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 xml:space="preserve"> the</w:t>
      </w:r>
      <w:proofErr w:type="gramEnd"/>
      <w:r>
        <w:rPr>
          <w:rFonts w:hint="eastAsia"/>
          <w:lang w:eastAsia="zh-CN"/>
        </w:rPr>
        <w:t xml:space="preserve"> full model is compared with several degraded variants:</w:t>
      </w:r>
    </w:p>
    <w:p w14:paraId="6C2F75DA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w/o Reg. </w:t>
      </w:r>
      <w:r>
        <w:rPr>
          <w:rFonts w:eastAsiaTheme="minorEastAsia" w:hint="eastAsia"/>
          <w:lang w:eastAsia="zh-CN"/>
        </w:rPr>
        <w:t>Removing the regulatory hypergraph reduces AUC to 96.04%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eastAsiaTheme="minorEastAsia" w:hint="eastAsia"/>
          <w:lang w:eastAsia="zh-CN"/>
        </w:rPr>
        <w:t>0.60%), showing the contribution of gene-mediated priors.</w:t>
      </w:r>
    </w:p>
    <w:p w14:paraId="73C90A61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 xml:space="preserve">w/o </w:t>
      </w:r>
      <w:proofErr w:type="spellStart"/>
      <w:r>
        <w:rPr>
          <w:rFonts w:hint="eastAsia"/>
          <w:b/>
          <w:bCs/>
          <w:lang w:eastAsia="zh-CN"/>
        </w:rPr>
        <w:t>Emb</w:t>
      </w:r>
      <w:proofErr w:type="spellEnd"/>
      <w:r>
        <w:rPr>
          <w:rFonts w:hint="eastAsia"/>
          <w:b/>
          <w:bCs/>
          <w:lang w:eastAsia="zh-CN"/>
        </w:rPr>
        <w:t>.</w:t>
      </w:r>
      <w:r>
        <w:rPr>
          <w:rFonts w:hint="eastAsia"/>
          <w:lang w:eastAsia="zh-CN"/>
        </w:rPr>
        <w:t xml:space="preserve"> Eliminating the embedding hypergraph lowers AUC to 95.47%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>1.07%), indicating complementary patterns captured by multimodal attributes.</w:t>
      </w:r>
    </w:p>
    <w:p w14:paraId="02A01185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w/o Global.</w:t>
      </w:r>
      <w:r>
        <w:rPr>
          <w:rFonts w:hint="eastAsia"/>
          <w:lang w:eastAsia="zh-CN"/>
        </w:rPr>
        <w:t xml:space="preserve"> Removing global structures and intra-view alignment decreases AUC to 96.03\% (↓0.61\%), reflecting the benefit of higher-order relations.</w:t>
      </w:r>
    </w:p>
    <w:p w14:paraId="51CCCC8B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w/o Geo.</w:t>
      </w:r>
      <w:r>
        <w:rPr>
          <w:rFonts w:hint="eastAsia"/>
          <w:lang w:eastAsia="zh-CN"/>
        </w:rPr>
        <w:t xml:space="preserve"> Without geodesic feature augmentation, the AUC drops to 96.11%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>0.53%), showing its effectiveness in alleviating structural sparsity.</w:t>
      </w:r>
    </w:p>
    <w:p w14:paraId="38CFD74D" w14:textId="77777777" w:rsidR="003B7FE1" w:rsidRDefault="00EF0798">
      <w:pPr>
        <w:numPr>
          <w:ilvl w:val="0"/>
          <w:numId w:val="6"/>
        </w:numPr>
        <w:rPr>
          <w:rFonts w:eastAsiaTheme="minorEastAsia"/>
          <w:lang w:eastAsia="zh-CN"/>
        </w:rPr>
      </w:pPr>
      <w:r>
        <w:rPr>
          <w:rFonts w:hint="eastAsia"/>
          <w:b/>
          <w:bCs/>
          <w:lang w:eastAsia="zh-CN"/>
        </w:rPr>
        <w:t>w/o Prop.</w:t>
      </w:r>
      <w:r>
        <w:rPr>
          <w:rFonts w:hint="eastAsia"/>
          <w:lang w:eastAsia="zh-CN"/>
        </w:rPr>
        <w:t xml:space="preserve"> Removing the graph CF propagation causes a significant drop (AUC: 94.51%, 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 xml:space="preserve">2.13%), highlighting the central role of collaborative filtering. </w:t>
      </w:r>
    </w:p>
    <w:p w14:paraId="1883778C" w14:textId="77777777" w:rsidR="003B7FE1" w:rsidRDefault="00EF0798">
      <w:pPr>
        <w:ind w:firstLineChars="100" w:firstLine="20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Overall, </w:t>
      </w:r>
      <w:r>
        <w:rPr>
          <w:rFonts w:eastAsiaTheme="minorEastAsia"/>
          <w:lang w:eastAsia="zh-CN"/>
        </w:rPr>
        <w:t xml:space="preserve">all </w:t>
      </w:r>
      <w:r>
        <w:rPr>
          <w:rFonts w:eastAsiaTheme="minorEastAsia" w:hint="eastAsia"/>
          <w:lang w:eastAsia="zh-CN"/>
        </w:rPr>
        <w:t>component</w:t>
      </w:r>
      <w:r>
        <w:rPr>
          <w:rFonts w:eastAsiaTheme="minorEastAsia"/>
          <w:lang w:eastAsia="zh-CN"/>
        </w:rPr>
        <w:t>s</w:t>
      </w:r>
      <w:r>
        <w:rPr>
          <w:rFonts w:eastAsiaTheme="minorEastAsia" w:hint="eastAsia"/>
          <w:lang w:eastAsia="zh-CN"/>
        </w:rPr>
        <w:t xml:space="preserve"> contribute positively, while the significant drop without propagation confirms graph collaborative filtering as the core module, with other components providing complementary gains.</w:t>
      </w:r>
    </w:p>
    <w:p w14:paraId="068DEFC8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Hyperparameter Sensitivity Analysis</w:t>
      </w:r>
    </w:p>
    <w:p w14:paraId="0E348ECC" w14:textId="77777777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>We evaluated GCFH-MDA</w:t>
      </w:r>
      <w:r>
        <w:rPr>
          <w:lang w:eastAsia="zh-CN"/>
        </w:rPr>
        <w:t xml:space="preserve"> under</w:t>
      </w:r>
      <w:r>
        <w:rPr>
          <w:rFonts w:hint="eastAsia"/>
          <w:lang w:eastAsia="zh-CN"/>
        </w:rPr>
        <w:t xml:space="preserve"> key hyperparameters, including the number of core genes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  <w:lang w:eastAsia="zh-CN"/>
        </w:rPr>
        <w:t xml:space="preserve">, hyperedge scale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  <w:lang w:eastAsia="zh-CN"/>
        </w:rPr>
        <w:t xml:space="preserve">, diffusion coefficient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  <w:lang w:eastAsia="zh-CN"/>
        </w:rPr>
        <w:t xml:space="preserve">, geodesic weight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  <w:lang w:eastAsia="zh-CN"/>
        </w:rPr>
        <w:t xml:space="preserve">, contrastive temperature 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propagation depth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  <w:lang w:eastAsia="zh-CN"/>
        </w:rPr>
        <w:t xml:space="preserve">, and contrastive loss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lang w:eastAsia="zh-CN"/>
        </w:rPr>
        <w:t>.</w:t>
      </w:r>
      <w:r>
        <w:rPr>
          <w:lang w:eastAsia="zh-CN"/>
        </w:rPr>
        <w:t xml:space="preserve">    </w:t>
      </w:r>
    </w:p>
    <w:p w14:paraId="1156D1FF" w14:textId="02CFAE8D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 xml:space="preserve">As shown in Fig. 4 and Fig. 5, the model maintains stable AUC and AUPR across a wide range of settings.  Optimal performance is achieved </w:t>
      </w:r>
      <w:r>
        <w:rPr>
          <w:lang w:eastAsia="zh-CN"/>
        </w:rP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=500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k=1</m:t>
        </m:r>
        <m:r>
          <w:rPr>
            <w:rFonts w:ascii="Cambria Math" w:eastAsia="宋体" w:hAnsi="Cambria Math"/>
            <w:lang w:eastAsia="zh-CN"/>
          </w:rPr>
          <m:t>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α=0.7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β=1.0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τ=0.5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L=3</m:t>
        </m:r>
      </m:oMath>
      <w:r>
        <w:rPr>
          <w:rFonts w:hint="eastAsia"/>
          <w:lang w:eastAsia="zh-CN"/>
        </w:rPr>
        <w:t>, and moderate contrastive 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=0.1</m:t>
        </m:r>
      </m:oMath>
      <w:r>
        <w:rPr>
          <w:rFonts w:hint="eastAsia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</m:t>
        </m:r>
      </m:oMath>
      <w:r>
        <w:rPr>
          <w:rFonts w:hint="eastAsia"/>
          <w:lang w:eastAsia="zh-CN"/>
        </w:rPr>
        <w:t xml:space="preserve">). </w:t>
      </w:r>
      <w:r>
        <w:rPr>
          <w:lang w:eastAsia="zh-CN"/>
        </w:rPr>
        <w:t>R</w:t>
      </w:r>
      <w:r>
        <w:rPr>
          <w:rFonts w:hint="eastAsia"/>
          <w:lang w:eastAsia="zh-CN"/>
        </w:rPr>
        <w:t xml:space="preserve">esults </w:t>
      </w:r>
      <w:r>
        <w:rPr>
          <w:lang w:eastAsia="zh-CN"/>
        </w:rPr>
        <w:t xml:space="preserve">indicate </w:t>
      </w:r>
      <w:r>
        <w:rPr>
          <w:rFonts w:hint="eastAsia"/>
          <w:lang w:eastAsia="zh-CN"/>
        </w:rPr>
        <w:t>embedding-based contrastive learning provides stronger regularization than regulatory</w:t>
      </w:r>
      <w:r>
        <w:rPr>
          <w:lang w:eastAsia="zh-CN"/>
        </w:rPr>
        <w:t xml:space="preserve"> view</w:t>
      </w:r>
      <w:r>
        <w:rPr>
          <w:rFonts w:hint="eastAsia"/>
          <w:lang w:eastAsia="zh-CN"/>
        </w:rPr>
        <w:t xml:space="preserve">, while structural propagation and geodesic augmentation </w:t>
      </w:r>
      <w:r>
        <w:rPr>
          <w:lang w:eastAsia="zh-CN"/>
        </w:rPr>
        <w:t xml:space="preserve">improve </w:t>
      </w:r>
      <w:r>
        <w:rPr>
          <w:rFonts w:hint="eastAsia"/>
          <w:lang w:eastAsia="zh-CN"/>
        </w:rPr>
        <w:t>representation</w:t>
      </w:r>
      <w:r>
        <w:rPr>
          <w:lang w:eastAsia="zh-CN"/>
        </w:rPr>
        <w:t>s</w:t>
      </w:r>
      <w:r>
        <w:rPr>
          <w:rFonts w:hint="eastAsia"/>
          <w:lang w:eastAsia="zh-CN"/>
        </w:rPr>
        <w:t xml:space="preserve"> without over-smoothing.</w:t>
      </w:r>
    </w:p>
    <w:p w14:paraId="56020B9D" w14:textId="77777777" w:rsidR="00485737" w:rsidRDefault="00485737" w:rsidP="00485737">
      <w:pPr>
        <w:ind w:firstLine="0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inline distT="0" distB="0" distL="114300" distR="114300" wp14:anchorId="2E4A7E23" wp14:editId="25D06448">
            <wp:extent cx="2456609" cy="1888958"/>
            <wp:effectExtent l="0" t="0" r="0" b="3810"/>
            <wp:docPr id="3" name="图片 3" descr="ablation_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blation_stud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2676" cy="189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79A7" w14:textId="77777777" w:rsidR="00485737" w:rsidRDefault="00485737" w:rsidP="00485737">
      <w:pPr>
        <w:ind w:firstLine="0"/>
        <w:rPr>
          <w:rFonts w:eastAsiaTheme="minorEastAsia"/>
          <w:lang w:eastAsia="zh-CN"/>
        </w:rPr>
      </w:pPr>
    </w:p>
    <w:p w14:paraId="746807D9" w14:textId="203BB990" w:rsidR="00485737" w:rsidRPr="00485737" w:rsidRDefault="00485737" w:rsidP="00485737">
      <w:pPr>
        <w:ind w:firstLine="0"/>
        <w:rPr>
          <w:rFonts w:eastAsiaTheme="minorEastAsia"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Fig. 3 </w:t>
      </w:r>
      <w:r>
        <w:rPr>
          <w:rFonts w:eastAsiaTheme="minorEastAsia" w:hint="eastAsia"/>
          <w:lang w:eastAsia="zh-CN"/>
        </w:rPr>
        <w:t>Ablation study of GCFH-MDA.</w:t>
      </w:r>
    </w:p>
    <w:p w14:paraId="4AC2EBB8" w14:textId="77777777" w:rsidR="003B7FE1" w:rsidRDefault="00EF0798">
      <w:pPr>
        <w:pStyle w:val="figurecaption"/>
        <w:jc w:val="both"/>
        <w:rPr>
          <w:lang w:eastAsia="zh-CN"/>
        </w:rPr>
      </w:pPr>
      <w:r>
        <w:rPr>
          <w:rFonts w:eastAsiaTheme="minorEastAsia" w:hint="eastAsia"/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7E80FF6A" wp14:editId="35D36FAF">
            <wp:simplePos x="0" y="0"/>
            <wp:positionH relativeFrom="column">
              <wp:posOffset>-431165</wp:posOffset>
            </wp:positionH>
            <wp:positionV relativeFrom="paragraph">
              <wp:posOffset>37465</wp:posOffset>
            </wp:positionV>
            <wp:extent cx="5145405" cy="2813050"/>
            <wp:effectExtent l="0" t="0" r="10795" b="6350"/>
            <wp:wrapSquare wrapText="bothSides"/>
            <wp:docPr id="7" name="图片 7" descr="hy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hyp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Fig. </w:t>
      </w:r>
      <w:r>
        <w:rPr>
          <w:rFonts w:eastAsia="宋体" w:hint="eastAsia"/>
          <w:b/>
          <w:lang w:eastAsia="zh-CN"/>
        </w:rPr>
        <w:t xml:space="preserve">4 </w:t>
      </w:r>
      <w:r>
        <w:rPr>
          <w:rFonts w:hint="eastAsia"/>
        </w:rPr>
        <w:t xml:space="preserve">Hyperparameter sensitivity analysis of </w:t>
      </w:r>
      <w:r>
        <w:rPr>
          <w:rFonts w:eastAsia="宋体" w:hint="eastAsia"/>
          <w:lang w:eastAsia="zh-CN"/>
        </w:rPr>
        <w:t>GCFH</w:t>
      </w:r>
      <w:r>
        <w:rPr>
          <w:rFonts w:hint="eastAsia"/>
        </w:rPr>
        <w:t xml:space="preserve">-MDA. </w:t>
      </w:r>
    </w:p>
    <w:tbl>
      <w:tblPr>
        <w:tblStyle w:val="ab"/>
        <w:tblW w:w="8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4111"/>
      </w:tblGrid>
      <w:tr w:rsidR="003B7FE1" w14:paraId="5CFD048D" w14:textId="77777777" w:rsidTr="00485737">
        <w:trPr>
          <w:trHeight w:val="1786"/>
        </w:trPr>
        <w:tc>
          <w:tcPr>
            <w:tcW w:w="3964" w:type="dxa"/>
          </w:tcPr>
          <w:p w14:paraId="2586D768" w14:textId="77777777" w:rsidR="003B7FE1" w:rsidRDefault="00485737">
            <w:pPr>
              <w:ind w:firstLine="0"/>
              <w:rPr>
                <w:rFonts w:eastAsiaTheme="minorEastAsia"/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5D52BB6E" wp14:editId="3005618F">
                  <wp:extent cx="2443018" cy="1176655"/>
                  <wp:effectExtent l="0" t="0" r="0" b="444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309" cy="1179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B3EEE" w14:textId="410282C1" w:rsidR="00485737" w:rsidRDefault="00485737">
            <w:pPr>
              <w:ind w:firstLine="0"/>
              <w:rPr>
                <w:rFonts w:eastAsiaTheme="minorEastAsia"/>
                <w:lang w:eastAsia="zh-CN"/>
              </w:rPr>
            </w:pPr>
            <w:r>
              <w:rPr>
                <w:b/>
              </w:rPr>
              <w:t xml:space="preserve">Fig. </w:t>
            </w:r>
            <w:r>
              <w:rPr>
                <w:rFonts w:eastAsia="宋体" w:hint="eastAsia"/>
                <w:b/>
                <w:lang w:eastAsia="zh-CN"/>
              </w:rPr>
              <w:t xml:space="preserve">5 </w:t>
            </w:r>
            <w:r>
              <w:rPr>
                <w:rFonts w:eastAsiaTheme="minorEastAsia" w:hint="eastAsia"/>
                <w:lang w:eastAsia="zh-CN"/>
              </w:rPr>
              <w:t>Loss weight sensitivity analysis of GCFH-MDA</w:t>
            </w:r>
          </w:p>
        </w:tc>
        <w:tc>
          <w:tcPr>
            <w:tcW w:w="4111" w:type="dxa"/>
          </w:tcPr>
          <w:p w14:paraId="56D9F2D9" w14:textId="484DF450" w:rsidR="003B7FE1" w:rsidRDefault="003B7FE1">
            <w:pPr>
              <w:ind w:firstLine="0"/>
            </w:pPr>
          </w:p>
          <w:p w14:paraId="71A2768E" w14:textId="77777777" w:rsidR="00485737" w:rsidRDefault="00485737">
            <w:pPr>
              <w:ind w:firstLine="0"/>
            </w:pPr>
          </w:p>
          <w:p w14:paraId="54FF97C4" w14:textId="77777777" w:rsidR="003B7FE1" w:rsidRDefault="00485737">
            <w:pPr>
              <w:ind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518B844E" wp14:editId="64193C8D">
                  <wp:extent cx="2456873" cy="787936"/>
                  <wp:effectExtent l="0" t="0" r="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834" cy="792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64621" w14:textId="55D5BDBC" w:rsidR="00485737" w:rsidRDefault="00485737">
            <w:pPr>
              <w:ind w:firstLine="0"/>
              <w:rPr>
                <w:lang w:eastAsia="zh-CN"/>
              </w:rPr>
            </w:pPr>
            <w:r>
              <w:rPr>
                <w:b/>
              </w:rPr>
              <w:t xml:space="preserve">Fig. </w:t>
            </w:r>
            <w:r>
              <w:rPr>
                <w:rFonts w:eastAsia="宋体" w:hint="eastAsia"/>
                <w:b/>
                <w:lang w:eastAsia="zh-CN"/>
              </w:rPr>
              <w:t xml:space="preserve">6 </w:t>
            </w:r>
            <w:r>
              <w:rPr>
                <w:rFonts w:eastAsia="宋体" w:hint="eastAsia"/>
                <w:bCs/>
                <w:lang w:eastAsia="zh-CN"/>
              </w:rPr>
              <w:t>Cold-start performance of GCFH-MD</w:t>
            </w:r>
            <w:r>
              <w:rPr>
                <w:rFonts w:eastAsiaTheme="minorEastAsia" w:hint="eastAsia"/>
                <w:bCs/>
                <w:lang w:eastAsia="zh-CN"/>
              </w:rPr>
              <w:t>A</w:t>
            </w:r>
          </w:p>
        </w:tc>
      </w:tr>
    </w:tbl>
    <w:p w14:paraId="1A3AD69E" w14:textId="77777777" w:rsidR="003B7FE1" w:rsidRDefault="003B7FE1">
      <w:pPr>
        <w:ind w:firstLine="0"/>
        <w:rPr>
          <w:lang w:eastAsia="zh-CN"/>
        </w:rPr>
      </w:pPr>
    </w:p>
    <w:p w14:paraId="5E48271D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Performance in Cold-Start Scenarios</w:t>
      </w:r>
    </w:p>
    <w:p w14:paraId="11117AD3" w14:textId="77777777" w:rsidR="003B7FE1" w:rsidRDefault="00EF0798">
      <w:pPr>
        <w:pStyle w:val="p1a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 xml:space="preserve">We further evaluate GCFH-MDA under cold-start </w:t>
      </w:r>
      <w:r>
        <w:rPr>
          <w:lang w:eastAsia="zh-CN"/>
        </w:rPr>
        <w:t xml:space="preserve">settings: </w:t>
      </w: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 drug cold-start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and (ii) miRNA cold-start, where all associations of </w:t>
      </w:r>
      <w:r>
        <w:rPr>
          <w:lang w:eastAsia="zh-CN"/>
        </w:rPr>
        <w:t xml:space="preserve">a held-out node </w:t>
      </w:r>
      <w:r>
        <w:rPr>
          <w:rFonts w:hint="eastAsia"/>
          <w:lang w:eastAsia="zh-CN"/>
        </w:rPr>
        <w:t xml:space="preserve">are </w:t>
      </w:r>
      <w:r>
        <w:rPr>
          <w:lang w:eastAsia="zh-CN"/>
        </w:rPr>
        <w:t>excluded for testing</w:t>
      </w:r>
      <w:r>
        <w:rPr>
          <w:rFonts w:hint="eastAsia"/>
          <w:lang w:eastAsia="zh-CN"/>
        </w:rPr>
        <w:t xml:space="preserve">. The model is trained on remaining associations and </w:t>
      </w:r>
      <w:r>
        <w:rPr>
          <w:lang w:eastAsia="zh-CN"/>
        </w:rPr>
        <w:t xml:space="preserve">evaluated </w:t>
      </w:r>
      <w:r>
        <w:rPr>
          <w:rFonts w:hint="eastAsia"/>
          <w:lang w:eastAsia="zh-CN"/>
        </w:rPr>
        <w:t xml:space="preserve">on withheld interactions. As shown in Fig. 6, drug cold-start </w:t>
      </w:r>
      <w:r>
        <w:rPr>
          <w:lang w:eastAsia="zh-CN"/>
        </w:rPr>
        <w:t xml:space="preserve">yields </w:t>
      </w:r>
      <w:r>
        <w:rPr>
          <w:rFonts w:hint="eastAsia"/>
          <w:lang w:eastAsia="zh-CN"/>
        </w:rPr>
        <w:t xml:space="preserve">a broader AUC distribution (83.34%±9.83), while miRNA cold-start </w:t>
      </w:r>
      <w:r>
        <w:rPr>
          <w:lang w:eastAsia="zh-CN"/>
        </w:rPr>
        <w:t xml:space="preserve">shows </w:t>
      </w:r>
      <w:r>
        <w:rPr>
          <w:rFonts w:hint="eastAsia"/>
          <w:lang w:eastAsia="zh-CN"/>
        </w:rPr>
        <w:t>a narrower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distribution (93.73%±3.98). </w:t>
      </w:r>
      <w:proofErr w:type="gramStart"/>
      <w:r>
        <w:rPr>
          <w:rFonts w:hint="eastAsia"/>
          <w:lang w:eastAsia="zh-CN"/>
        </w:rPr>
        <w:t xml:space="preserve">This </w:t>
      </w:r>
      <w:r>
        <w:rPr>
          <w:lang w:eastAsia="zh-CN"/>
        </w:rPr>
        <w:t>results</w:t>
      </w:r>
      <w:proofErr w:type="gram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su</w:t>
      </w:r>
      <w:r>
        <w:rPr>
          <w:lang w:eastAsia="zh-CN"/>
        </w:rPr>
        <w:t>pport</w:t>
      </w:r>
      <w:r>
        <w:rPr>
          <w:rFonts w:hint="eastAsia"/>
          <w:lang w:eastAsia="zh-CN"/>
        </w:rPr>
        <w:t xml:space="preserve"> the framework</w:t>
      </w:r>
      <w:r>
        <w:rPr>
          <w:lang w:eastAsia="zh-CN"/>
        </w:rPr>
        <w:t>’s effectiveness</w:t>
      </w:r>
      <w:r>
        <w:rPr>
          <w:rFonts w:hint="eastAsia"/>
          <w:lang w:eastAsia="zh-CN"/>
        </w:rPr>
        <w:t xml:space="preserve"> in cold-start </w:t>
      </w:r>
      <w:r>
        <w:rPr>
          <w:lang w:eastAsia="zh-CN"/>
        </w:rPr>
        <w:t>prediction</w:t>
      </w:r>
      <w:r>
        <w:rPr>
          <w:rFonts w:hint="eastAsia"/>
          <w:lang w:eastAsia="zh-CN"/>
        </w:rPr>
        <w:t>, particularly for emerging miRNAs and novel drugs.</w:t>
      </w:r>
    </w:p>
    <w:p w14:paraId="66A1AAB8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Case studies</w:t>
      </w:r>
    </w:p>
    <w:p w14:paraId="631F4C47" w14:textId="6881A23F" w:rsidR="003B7FE1" w:rsidRDefault="00EF0798">
      <w:pPr>
        <w:pStyle w:val="equation"/>
        <w:ind w:firstLineChars="100" w:firstLine="200"/>
      </w:pPr>
      <w:r>
        <w:rPr>
          <w:rFonts w:hint="eastAsia"/>
          <w:lang w:eastAsia="zh-CN"/>
        </w:rPr>
        <w:t>To evaluate GCFH-MDA</w:t>
      </w:r>
      <w:r>
        <w:rPr>
          <w:lang w:eastAsia="zh-CN"/>
        </w:rPr>
        <w:t xml:space="preserve"> for</w:t>
      </w:r>
      <w:r>
        <w:rPr>
          <w:rFonts w:hint="eastAsia"/>
          <w:lang w:eastAsia="zh-CN"/>
        </w:rPr>
        <w:t xml:space="preserve"> prioritiz</w:t>
      </w:r>
      <w:r>
        <w:rPr>
          <w:lang w:eastAsia="zh-CN"/>
        </w:rPr>
        <w:t>ing</w:t>
      </w:r>
      <w:r>
        <w:rPr>
          <w:rFonts w:hint="eastAsia"/>
          <w:lang w:eastAsia="zh-CN"/>
        </w:rPr>
        <w:t xml:space="preserve"> novel miRNA-drug associations, we conducted case studies 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Fluorouracil, Cisplatin, and Doxorubicin. </w:t>
      </w:r>
      <w:r>
        <w:rPr>
          <w:lang w:eastAsia="zh-CN"/>
        </w:rPr>
        <w:t>Using</w:t>
      </w:r>
      <w:r>
        <w:rPr>
          <w:rFonts w:hint="eastAsia"/>
          <w:lang w:eastAsia="zh-CN"/>
        </w:rPr>
        <w:t xml:space="preserve"> all known associations </w:t>
      </w:r>
      <w:r>
        <w:rPr>
          <w:lang w:eastAsia="zh-CN"/>
        </w:rPr>
        <w:t xml:space="preserve">for training, </w:t>
      </w:r>
      <w:r>
        <w:rPr>
          <w:rFonts w:hint="eastAsia"/>
          <w:lang w:eastAsia="zh-CN"/>
        </w:rPr>
        <w:t>the top-15 predicted miRNAs per drug were ranked by probability.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As shown in Fig. 7, 7</w:t>
      </w:r>
      <w:r>
        <w:rPr>
          <w:lang w:eastAsia="zh-CN"/>
        </w:rPr>
        <w:t xml:space="preserve"> candidates</w:t>
      </w:r>
      <w:r>
        <w:rPr>
          <w:rFonts w:hint="eastAsia"/>
          <w:lang w:eastAsia="zh-CN"/>
        </w:rPr>
        <w:t xml:space="preserve"> for 5-FU and cisplatin, and 6 for doxorubicin</w:t>
      </w:r>
      <w:r>
        <w:rPr>
          <w:lang w:eastAsia="zh-CN"/>
        </w:rPr>
        <w:t>,</w:t>
      </w:r>
      <w:r>
        <w:rPr>
          <w:rFonts w:hint="eastAsia"/>
          <w:lang w:eastAsia="zh-CN"/>
        </w:rPr>
        <w:t xml:space="preserve"> are supported by literature</w:t>
      </w:r>
      <w:r>
        <w:rPr>
          <w:lang w:eastAsia="zh-CN"/>
        </w:rPr>
        <w:t xml:space="preserve"> [</w:t>
      </w:r>
      <w:r w:rsidR="00217CCF">
        <w:rPr>
          <w:lang w:eastAsia="zh-CN"/>
        </w:rPr>
        <w:t>30-32</w:t>
      </w:r>
      <w:r>
        <w:rPr>
          <w:lang w:eastAsia="zh-CN"/>
        </w:rPr>
        <w:t>]</w:t>
      </w:r>
      <w:r>
        <w:rPr>
          <w:rFonts w:hint="eastAsia"/>
          <w:lang w:eastAsia="zh-CN"/>
        </w:rPr>
        <w:t xml:space="preserve">. These </w:t>
      </w:r>
      <w:r>
        <w:rPr>
          <w:lang w:eastAsia="zh-CN"/>
        </w:rPr>
        <w:t xml:space="preserve">results </w:t>
      </w:r>
      <w:r>
        <w:rPr>
          <w:rFonts w:hint="eastAsia"/>
          <w:lang w:eastAsia="zh-CN"/>
        </w:rPr>
        <w:t>demonstrate GCFH-MDA effective</w:t>
      </w:r>
      <w:r>
        <w:rPr>
          <w:lang w:eastAsia="zh-CN"/>
        </w:rPr>
        <w:t>ly</w:t>
      </w:r>
      <w:r>
        <w:rPr>
          <w:rFonts w:hint="eastAsia"/>
          <w:lang w:eastAsia="zh-CN"/>
        </w:rPr>
        <w:t xml:space="preserve"> identif</w:t>
      </w:r>
      <w:r>
        <w:rPr>
          <w:lang w:eastAsia="zh-CN"/>
        </w:rPr>
        <w:t>ies</w:t>
      </w:r>
      <w:r>
        <w:rPr>
          <w:rFonts w:hint="eastAsia"/>
          <w:lang w:eastAsia="zh-CN"/>
        </w:rPr>
        <w:t xml:space="preserve"> biologically relevant associations and </w:t>
      </w:r>
      <w:r>
        <w:rPr>
          <w:lang w:eastAsia="zh-CN"/>
        </w:rPr>
        <w:t xml:space="preserve">may support </w:t>
      </w:r>
      <w:r>
        <w:rPr>
          <w:rFonts w:hint="eastAsia"/>
          <w:lang w:eastAsia="zh-CN"/>
        </w:rPr>
        <w:t>drug resistance analysis and personalized treatment.</w:t>
      </w:r>
    </w:p>
    <w:p w14:paraId="42BE2E2A" w14:textId="77777777" w:rsidR="003B7FE1" w:rsidRDefault="00EF0798">
      <w:pPr>
        <w:ind w:firstLine="0"/>
      </w:pPr>
      <w:r>
        <w:rPr>
          <w:noProof/>
        </w:rPr>
        <w:drawing>
          <wp:inline distT="0" distB="0" distL="114300" distR="114300" wp14:anchorId="55EDC84D" wp14:editId="37342270">
            <wp:extent cx="5611890" cy="29718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rcRect t="4792"/>
                    <a:stretch>
                      <a:fillRect/>
                    </a:stretch>
                  </pic:blipFill>
                  <pic:spPr>
                    <a:xfrm>
                      <a:off x="0" y="0"/>
                      <a:ext cx="5623249" cy="297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CA17" w14:textId="77777777" w:rsidR="003B7FE1" w:rsidRDefault="00EF0798">
      <w:pPr>
        <w:pStyle w:val="tablecaption"/>
        <w:rPr>
          <w:lang w:eastAsia="zh-CN"/>
        </w:rPr>
      </w:pPr>
      <w:r>
        <w:rPr>
          <w:rFonts w:eastAsia="宋体" w:hint="eastAsia"/>
          <w:b/>
          <w:lang w:eastAsia="zh-CN"/>
        </w:rPr>
        <w:t>Fig.</w:t>
      </w:r>
      <w:r>
        <w:rPr>
          <w:b/>
        </w:rPr>
        <w:t xml:space="preserve"> </w:t>
      </w:r>
      <w:r>
        <w:rPr>
          <w:rFonts w:eastAsia="宋体" w:hint="eastAsia"/>
          <w:b/>
          <w:lang w:eastAsia="zh-CN"/>
        </w:rPr>
        <w:t>7</w:t>
      </w:r>
      <w:r>
        <w:t xml:space="preserve"> </w:t>
      </w:r>
      <w:r>
        <w:rPr>
          <w:rFonts w:hint="eastAsia"/>
        </w:rPr>
        <w:t>Top 15 predicted miRNA-drug associations (not in the benchmark database) for Fluorouracil, Cisplatin, and Doxorubicin</w:t>
      </w:r>
      <w:r>
        <w:t>.</w:t>
      </w:r>
    </w:p>
    <w:p w14:paraId="673E9D1C" w14:textId="77777777" w:rsidR="003B7FE1" w:rsidRDefault="00EF0798">
      <w:pPr>
        <w:pStyle w:val="heading1"/>
      </w:pPr>
      <w:r>
        <w:rPr>
          <w:rFonts w:hint="eastAsia"/>
        </w:rPr>
        <w:t>Conclusio</w:t>
      </w:r>
      <w:r>
        <w:t>n</w:t>
      </w:r>
    </w:p>
    <w:p w14:paraId="681E2352" w14:textId="77777777" w:rsidR="003B7FE1" w:rsidRDefault="00EF0798">
      <w:r>
        <w:rPr>
          <w:rFonts w:hint="eastAsia"/>
        </w:rPr>
        <w:t>Drug response variability</w:t>
      </w:r>
      <w:r>
        <w:t xml:space="preserve"> </w:t>
      </w:r>
      <w:r>
        <w:rPr>
          <w:rFonts w:hint="eastAsia"/>
        </w:rPr>
        <w:t xml:space="preserve">influenced by miRNAs is critical for </w:t>
      </w:r>
      <w:r>
        <w:t>t</w:t>
      </w:r>
      <w:r>
        <w:rPr>
          <w:rFonts w:hint="eastAsia"/>
        </w:rPr>
        <w:t>herapeutic outcomes</w:t>
      </w:r>
      <w:r>
        <w:t>,</w:t>
      </w:r>
      <w:r>
        <w:rPr>
          <w:rFonts w:hint="eastAsia"/>
        </w:rPr>
        <w:t xml:space="preserve"> </w:t>
      </w:r>
      <w:r>
        <w:t xml:space="preserve">making </w:t>
      </w:r>
      <w:r>
        <w:rPr>
          <w:rFonts w:eastAsia="宋体" w:hint="eastAsia"/>
          <w:lang w:eastAsia="zh-CN"/>
        </w:rPr>
        <w:t>a</w:t>
      </w:r>
      <w:r>
        <w:rPr>
          <w:rFonts w:hint="eastAsia"/>
        </w:rPr>
        <w:t>ccurate identification of miRNA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drug associations</w:t>
      </w:r>
      <w:r>
        <w:t xml:space="preserve"> essential </w:t>
      </w:r>
      <w:r>
        <w:rPr>
          <w:rFonts w:hint="eastAsia"/>
        </w:rPr>
        <w:t xml:space="preserve">for </w:t>
      </w:r>
      <w:r>
        <w:t>studying</w:t>
      </w:r>
      <w:r>
        <w:rPr>
          <w:rFonts w:hint="eastAsia"/>
        </w:rPr>
        <w:t xml:space="preserve"> drug resistance and precision medicine. </w:t>
      </w:r>
      <w:r>
        <w:t>W</w:t>
      </w:r>
      <w:r>
        <w:rPr>
          <w:rFonts w:hint="eastAsia"/>
        </w:rPr>
        <w:t>e proposed GCFH-MDA, a graph collaborative filtering framework with hypergraph</w:t>
      </w:r>
      <w:r>
        <w:t xml:space="preserve"> augmentation that</w:t>
      </w:r>
      <w:r>
        <w:rPr>
          <w:rFonts w:hint="eastAsia"/>
        </w:rPr>
        <w:t xml:space="preserve"> integrat</w:t>
      </w:r>
      <w:r>
        <w:t xml:space="preserve">es </w:t>
      </w:r>
      <w:r>
        <w:rPr>
          <w:rFonts w:hint="eastAsia"/>
        </w:rPr>
        <w:t>biological priors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and multimodal attributes.</w:t>
      </w:r>
      <w:r>
        <w:rPr>
          <w:rFonts w:eastAsia="宋体" w:hint="eastAsia"/>
          <w:lang w:eastAsia="zh-CN"/>
        </w:rPr>
        <w:t xml:space="preserve"> Contrastive learning and geodesic augmentation </w:t>
      </w:r>
      <w:r>
        <w:rPr>
          <w:rFonts w:eastAsia="宋体"/>
          <w:lang w:eastAsia="zh-CN"/>
        </w:rPr>
        <w:t xml:space="preserve">enhance representation learning, achieving </w:t>
      </w:r>
      <w:r>
        <w:rPr>
          <w:rFonts w:eastAsia="宋体" w:hint="eastAsia"/>
          <w:lang w:eastAsia="zh-CN"/>
        </w:rPr>
        <w:t>state-of-the-art AUC and AUPR</w:t>
      </w:r>
      <w:r>
        <w:rPr>
          <w:rFonts w:hint="eastAsia"/>
        </w:rPr>
        <w:t xml:space="preserve"> on 8,720 associations</w:t>
      </w:r>
      <w:r>
        <w:t>, further supported</w:t>
      </w:r>
      <w:r>
        <w:rPr>
          <w:rFonts w:hint="eastAsia"/>
        </w:rPr>
        <w:t xml:space="preserve"> </w:t>
      </w:r>
      <w:r>
        <w:t>by case studies on</w:t>
      </w:r>
      <w:r>
        <w:rPr>
          <w:rFonts w:hint="eastAsia"/>
        </w:rPr>
        <w:t xml:space="preserve"> fluorouracil, cisplatin, and doxorubicin. Future work will incorporate</w:t>
      </w:r>
      <w:r>
        <w:t xml:space="preserve"> </w:t>
      </w:r>
      <w:r>
        <w:rPr>
          <w:rFonts w:hint="eastAsia"/>
        </w:rPr>
        <w:t>multi-omics and temporal dat</w:t>
      </w:r>
      <w:r>
        <w:t>a</w:t>
      </w:r>
      <w:r>
        <w:rPr>
          <w:rFonts w:hint="eastAsia"/>
        </w:rPr>
        <w:t xml:space="preserve"> and experimentally validate mechanisms</w:t>
      </w:r>
      <w:r>
        <w:t xml:space="preserve"> for personalized cancer therapy.</w:t>
      </w:r>
    </w:p>
    <w:p w14:paraId="673DED0F" w14:textId="77777777" w:rsidR="003B7FE1" w:rsidRDefault="00EF0798">
      <w:pPr>
        <w:pStyle w:val="acknowlegments"/>
        <w:rPr>
          <w:b/>
          <w:bCs/>
        </w:rPr>
      </w:pPr>
      <w:r>
        <w:rPr>
          <w:rStyle w:val="heading3"/>
        </w:rPr>
        <w:lastRenderedPageBreak/>
        <w:t>Acknowledgments.</w:t>
      </w:r>
      <w:r>
        <w:rPr>
          <w:b/>
          <w:bCs/>
        </w:rPr>
        <w:t xml:space="preserve"> </w:t>
      </w:r>
      <w:r>
        <w:rPr>
          <w:rFonts w:hint="eastAsia"/>
          <w:bCs/>
        </w:rPr>
        <w:t>This work was supported by the National Natural Science Foundation of China under Grant 62472425, in part by the Natural Science Foundation of Guangxi Zhuang Autonomous Region under Grant 2024GXNSFAA</w:t>
      </w:r>
      <w:proofErr w:type="gramStart"/>
      <w:r>
        <w:rPr>
          <w:rFonts w:hint="eastAsia"/>
          <w:bCs/>
        </w:rPr>
        <w:t>010282.</w:t>
      </w:r>
      <w:r>
        <w:rPr>
          <w:bCs/>
        </w:rPr>
        <w:t>.</w:t>
      </w:r>
      <w:proofErr w:type="gramEnd"/>
    </w:p>
    <w:p w14:paraId="33FDC542" w14:textId="1CDA757C" w:rsidR="003B7FE1" w:rsidRDefault="00EF0798" w:rsidP="00E923A0">
      <w:pPr>
        <w:pStyle w:val="acknowlegments"/>
      </w:pPr>
      <w:r>
        <w:rPr>
          <w:rStyle w:val="heading3"/>
        </w:rPr>
        <w:t>Disclosure of Interests.</w:t>
      </w:r>
      <w:r>
        <w:rPr>
          <w:b/>
          <w:bCs/>
        </w:rPr>
        <w:t xml:space="preserve"> </w:t>
      </w:r>
      <w:r>
        <w:rPr>
          <w:rFonts w:eastAsia="宋体" w:hint="eastAsia"/>
          <w:lang w:eastAsia="zh-CN"/>
        </w:rPr>
        <w:t>T</w:t>
      </w:r>
      <w:r>
        <w:t>he authors declare that they have no known competing financial interests or personal relationships that could have appeared to influence the work reported in this paper.</w:t>
      </w:r>
    </w:p>
    <w:sectPr w:rsidR="003B7FE1">
      <w:headerReference w:type="even" r:id="rId15"/>
      <w:headerReference w:type="default" r:id="rId16"/>
      <w:pgSz w:w="11906" w:h="16838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B1607A" w14:textId="77777777" w:rsidR="008A3050" w:rsidRDefault="008A3050">
      <w:pPr>
        <w:spacing w:line="240" w:lineRule="auto"/>
      </w:pPr>
      <w:r>
        <w:separator/>
      </w:r>
    </w:p>
  </w:endnote>
  <w:endnote w:type="continuationSeparator" w:id="0">
    <w:p w14:paraId="52C1880C" w14:textId="77777777" w:rsidR="008A3050" w:rsidRDefault="008A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Math TeX Gyre">
    <w:altName w:val="Calibri"/>
    <w:panose1 w:val="020B0604020202020204"/>
    <w:charset w:val="00"/>
    <w:family w:val="auto"/>
    <w:pitch w:val="default"/>
    <w:sig w:usb0="A10000EF" w:usb1="4201F9EE" w:usb2="02000000" w:usb3="00000000" w:csb0="60000193" w:csb1="0DD4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49C966" w14:textId="77777777" w:rsidR="008A3050" w:rsidRDefault="008A3050">
      <w:pPr>
        <w:spacing w:line="240" w:lineRule="auto"/>
      </w:pPr>
      <w:r>
        <w:separator/>
      </w:r>
    </w:p>
  </w:footnote>
  <w:footnote w:type="continuationSeparator" w:id="0">
    <w:p w14:paraId="5288933D" w14:textId="77777777" w:rsidR="008A3050" w:rsidRDefault="008A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9F43DD" w14:textId="77777777" w:rsidR="003B7FE1" w:rsidRDefault="00EF0798">
    <w:pPr>
      <w:pStyle w:val="runningheadleft"/>
      <w:rPr>
        <w:rFonts w:eastAsia="宋体"/>
        <w:lang w:eastAsia="zh-CN"/>
      </w:rPr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 Ying Fu </w:t>
    </w:r>
    <w:r>
      <w:rPr>
        <w:rFonts w:hint="eastAsia"/>
      </w:rPr>
      <w:t>et al.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33D82" w14:textId="77777777" w:rsidR="003B7FE1" w:rsidRDefault="00EF0798">
    <w:pPr>
      <w:pStyle w:val="runningheadright"/>
    </w:pPr>
    <w:r>
      <w:tab/>
    </w:r>
    <w:r>
      <w:rPr>
        <w:rFonts w:hint="eastAsia"/>
      </w:rPr>
      <w:t>GCFH-MDA: Graph Collaborative Filtering with Hypergraph Augmentation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11A2967"/>
    <w:multiLevelType w:val="singleLevel"/>
    <w:tmpl w:val="811A29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F397F84"/>
    <w:multiLevelType w:val="multilevel"/>
    <w:tmpl w:val="1F397F84"/>
    <w:lvl w:ilvl="0">
      <w:start w:val="1"/>
      <w:numFmt w:val="bullet"/>
      <w:pStyle w:val="bulletitem"/>
      <w:lvlText w:val=""/>
      <w:lvlJc w:val="left"/>
      <w:pPr>
        <w:tabs>
          <w:tab w:val="left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left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left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left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6F404C9F"/>
    <w:lvl w:ilvl="0">
      <w:start w:val="1"/>
      <w:numFmt w:val="bullet"/>
      <w:pStyle w:val="dashitem"/>
      <w:lvlText w:val="─"/>
      <w:lvlJc w:val="left"/>
      <w:pPr>
        <w:tabs>
          <w:tab w:val="left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left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left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left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left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left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left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left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38779A"/>
    <w:lvl w:ilvl="0">
      <w:start w:val="1"/>
      <w:numFmt w:val="decimal"/>
      <w:pStyle w:val="heading1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B274BC8"/>
    <w:lvl w:ilvl="0">
      <w:start w:val="1"/>
      <w:numFmt w:val="decimal"/>
      <w:pStyle w:val="numitem"/>
      <w:lvlText w:val="%1."/>
      <w:lvlJc w:val="right"/>
      <w:pPr>
        <w:tabs>
          <w:tab w:val="left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left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7D9521C8"/>
    <w:lvl w:ilvl="0">
      <w:start w:val="1"/>
      <w:numFmt w:val="decimal"/>
      <w:pStyle w:val="referenceitem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010"/>
        </w:tabs>
        <w:ind w:left="20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730"/>
        </w:tabs>
        <w:ind w:left="27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450"/>
        </w:tabs>
        <w:ind w:left="3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170"/>
        </w:tabs>
        <w:ind w:left="4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890"/>
        </w:tabs>
        <w:ind w:left="4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610"/>
        </w:tabs>
        <w:ind w:left="5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330"/>
        </w:tabs>
        <w:ind w:left="6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7050"/>
        </w:tabs>
        <w:ind w:left="705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6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B96F039B"/>
    <w:rsid w:val="BABBE335"/>
    <w:rsid w:val="BAFE242B"/>
    <w:rsid w:val="BB55973B"/>
    <w:rsid w:val="BEE25F25"/>
    <w:rsid w:val="BF6F33FB"/>
    <w:rsid w:val="BFD930E7"/>
    <w:rsid w:val="BFDF32EA"/>
    <w:rsid w:val="BFEB6013"/>
    <w:rsid w:val="BFF7FB46"/>
    <w:rsid w:val="C7357449"/>
    <w:rsid w:val="CE576503"/>
    <w:rsid w:val="D1F57C07"/>
    <w:rsid w:val="D37D5B38"/>
    <w:rsid w:val="D696EC8B"/>
    <w:rsid w:val="D6FF2D72"/>
    <w:rsid w:val="D9B75FB2"/>
    <w:rsid w:val="DAFDA6A2"/>
    <w:rsid w:val="DC370998"/>
    <w:rsid w:val="DCBEA62B"/>
    <w:rsid w:val="DDED3FC4"/>
    <w:rsid w:val="DF2F85AE"/>
    <w:rsid w:val="DF3B8E27"/>
    <w:rsid w:val="DF7FACD5"/>
    <w:rsid w:val="DFAFDA29"/>
    <w:rsid w:val="DFBC4F84"/>
    <w:rsid w:val="DFBF76B2"/>
    <w:rsid w:val="DFF8B7A1"/>
    <w:rsid w:val="DFFBF199"/>
    <w:rsid w:val="DFFF19B4"/>
    <w:rsid w:val="E19FE678"/>
    <w:rsid w:val="E2DFD0C3"/>
    <w:rsid w:val="E69FC341"/>
    <w:rsid w:val="E6FFF482"/>
    <w:rsid w:val="E75EA422"/>
    <w:rsid w:val="E7D5A703"/>
    <w:rsid w:val="E7DB87FB"/>
    <w:rsid w:val="EA5F5940"/>
    <w:rsid w:val="EAC74FEA"/>
    <w:rsid w:val="EDFFA158"/>
    <w:rsid w:val="EE33EAF2"/>
    <w:rsid w:val="EF56EC21"/>
    <w:rsid w:val="EF5B7EEC"/>
    <w:rsid w:val="EFDFCDBF"/>
    <w:rsid w:val="EFF9E470"/>
    <w:rsid w:val="F36839E0"/>
    <w:rsid w:val="F4747899"/>
    <w:rsid w:val="F77D82C9"/>
    <w:rsid w:val="F77FEE25"/>
    <w:rsid w:val="F7F37B24"/>
    <w:rsid w:val="F7F5209C"/>
    <w:rsid w:val="F7F52548"/>
    <w:rsid w:val="F94FADAF"/>
    <w:rsid w:val="FBA66293"/>
    <w:rsid w:val="FBE94911"/>
    <w:rsid w:val="FBEFE951"/>
    <w:rsid w:val="FBF33D23"/>
    <w:rsid w:val="FBF6EFF8"/>
    <w:rsid w:val="FBFBFBF2"/>
    <w:rsid w:val="FBFE201A"/>
    <w:rsid w:val="FBFF6702"/>
    <w:rsid w:val="FBFF8D7F"/>
    <w:rsid w:val="FCD809FF"/>
    <w:rsid w:val="FD3F3CC6"/>
    <w:rsid w:val="FD526716"/>
    <w:rsid w:val="FD57EB92"/>
    <w:rsid w:val="FDADC3EB"/>
    <w:rsid w:val="FDBB8DA3"/>
    <w:rsid w:val="FDDD3E69"/>
    <w:rsid w:val="FDF6E295"/>
    <w:rsid w:val="FDFB4EE1"/>
    <w:rsid w:val="FEEF8D03"/>
    <w:rsid w:val="FEFB15C7"/>
    <w:rsid w:val="FEFB52B3"/>
    <w:rsid w:val="FEFE9BC5"/>
    <w:rsid w:val="FEFF6A3F"/>
    <w:rsid w:val="FF3C6FF2"/>
    <w:rsid w:val="FF4F78AD"/>
    <w:rsid w:val="FF556AF4"/>
    <w:rsid w:val="FF672EC5"/>
    <w:rsid w:val="FF6AFE18"/>
    <w:rsid w:val="FF7E0E0B"/>
    <w:rsid w:val="FF7E3590"/>
    <w:rsid w:val="FFD613FE"/>
    <w:rsid w:val="FFDE6766"/>
    <w:rsid w:val="FFEF1EDF"/>
    <w:rsid w:val="FFF9A5B7"/>
    <w:rsid w:val="FFFB29BF"/>
    <w:rsid w:val="FFFF4772"/>
    <w:rsid w:val="FFFFBC37"/>
    <w:rsid w:val="000620DB"/>
    <w:rsid w:val="0008263C"/>
    <w:rsid w:val="000A002F"/>
    <w:rsid w:val="0010760A"/>
    <w:rsid w:val="0016118C"/>
    <w:rsid w:val="00177B61"/>
    <w:rsid w:val="00217CCF"/>
    <w:rsid w:val="00226D79"/>
    <w:rsid w:val="00292253"/>
    <w:rsid w:val="003213D4"/>
    <w:rsid w:val="00351137"/>
    <w:rsid w:val="003B7FE1"/>
    <w:rsid w:val="00405B8A"/>
    <w:rsid w:val="00432105"/>
    <w:rsid w:val="00485737"/>
    <w:rsid w:val="004E616D"/>
    <w:rsid w:val="005039AE"/>
    <w:rsid w:val="00531735"/>
    <w:rsid w:val="00702E8D"/>
    <w:rsid w:val="0073250E"/>
    <w:rsid w:val="007F5D36"/>
    <w:rsid w:val="00840549"/>
    <w:rsid w:val="008461CF"/>
    <w:rsid w:val="00885DCE"/>
    <w:rsid w:val="0089675E"/>
    <w:rsid w:val="008A3050"/>
    <w:rsid w:val="008C7EE4"/>
    <w:rsid w:val="00952B96"/>
    <w:rsid w:val="0095682A"/>
    <w:rsid w:val="009930E4"/>
    <w:rsid w:val="009B2539"/>
    <w:rsid w:val="009F7FCE"/>
    <w:rsid w:val="00A13D60"/>
    <w:rsid w:val="00A279F8"/>
    <w:rsid w:val="00A712C0"/>
    <w:rsid w:val="00B23481"/>
    <w:rsid w:val="00B37787"/>
    <w:rsid w:val="00B56730"/>
    <w:rsid w:val="00D97BFA"/>
    <w:rsid w:val="00E923A0"/>
    <w:rsid w:val="00EF0798"/>
    <w:rsid w:val="00EF5B53"/>
    <w:rsid w:val="00F254D0"/>
    <w:rsid w:val="00F3144D"/>
    <w:rsid w:val="00F321B4"/>
    <w:rsid w:val="00F40519"/>
    <w:rsid w:val="01101675"/>
    <w:rsid w:val="011C626C"/>
    <w:rsid w:val="0138166C"/>
    <w:rsid w:val="014001AC"/>
    <w:rsid w:val="022A2346"/>
    <w:rsid w:val="0236558C"/>
    <w:rsid w:val="03593735"/>
    <w:rsid w:val="03A85D0B"/>
    <w:rsid w:val="03DC370C"/>
    <w:rsid w:val="049C1B9D"/>
    <w:rsid w:val="062E5B7F"/>
    <w:rsid w:val="06CF0127"/>
    <w:rsid w:val="07B6724C"/>
    <w:rsid w:val="08394F94"/>
    <w:rsid w:val="08FFCED9"/>
    <w:rsid w:val="09067414"/>
    <w:rsid w:val="09E17252"/>
    <w:rsid w:val="0A2F75EB"/>
    <w:rsid w:val="0B3FD6DC"/>
    <w:rsid w:val="0D4330C4"/>
    <w:rsid w:val="0DF26CD2"/>
    <w:rsid w:val="0E2F5830"/>
    <w:rsid w:val="101C2AD0"/>
    <w:rsid w:val="119360D6"/>
    <w:rsid w:val="125C296C"/>
    <w:rsid w:val="12D9175E"/>
    <w:rsid w:val="138F0F48"/>
    <w:rsid w:val="138F28CD"/>
    <w:rsid w:val="14215629"/>
    <w:rsid w:val="155618F4"/>
    <w:rsid w:val="165C7A79"/>
    <w:rsid w:val="167F4E7B"/>
    <w:rsid w:val="16846935"/>
    <w:rsid w:val="168B7A65"/>
    <w:rsid w:val="1711679D"/>
    <w:rsid w:val="171C4DC0"/>
    <w:rsid w:val="172D48D7"/>
    <w:rsid w:val="18D55226"/>
    <w:rsid w:val="1A41348C"/>
    <w:rsid w:val="1BA4095B"/>
    <w:rsid w:val="1BBA0C00"/>
    <w:rsid w:val="1BD16179"/>
    <w:rsid w:val="1BEF8798"/>
    <w:rsid w:val="1C2E6BC2"/>
    <w:rsid w:val="1C356329"/>
    <w:rsid w:val="1C395ACC"/>
    <w:rsid w:val="1C835FD3"/>
    <w:rsid w:val="1CE41EDC"/>
    <w:rsid w:val="1D9C04C5"/>
    <w:rsid w:val="1D9D2DB7"/>
    <w:rsid w:val="1E4C0BBB"/>
    <w:rsid w:val="1E91399D"/>
    <w:rsid w:val="1EB03781"/>
    <w:rsid w:val="1EBED745"/>
    <w:rsid w:val="1F0C54A8"/>
    <w:rsid w:val="1F2622CA"/>
    <w:rsid w:val="1F4B899B"/>
    <w:rsid w:val="1F8C28EA"/>
    <w:rsid w:val="1FB90A1C"/>
    <w:rsid w:val="1FDF8A00"/>
    <w:rsid w:val="1FF54030"/>
    <w:rsid w:val="1FF75531"/>
    <w:rsid w:val="2063580D"/>
    <w:rsid w:val="218B0B78"/>
    <w:rsid w:val="22C04851"/>
    <w:rsid w:val="22C813AD"/>
    <w:rsid w:val="23953F30"/>
    <w:rsid w:val="250A6664"/>
    <w:rsid w:val="26187323"/>
    <w:rsid w:val="263F5ACC"/>
    <w:rsid w:val="26561413"/>
    <w:rsid w:val="26630315"/>
    <w:rsid w:val="286640ED"/>
    <w:rsid w:val="28D66E5D"/>
    <w:rsid w:val="29713FC2"/>
    <w:rsid w:val="29EE439A"/>
    <w:rsid w:val="2AD359D3"/>
    <w:rsid w:val="2AEB0FC5"/>
    <w:rsid w:val="2B4247A3"/>
    <w:rsid w:val="2BDF043E"/>
    <w:rsid w:val="2BFF25A7"/>
    <w:rsid w:val="2C782A49"/>
    <w:rsid w:val="2C974F29"/>
    <w:rsid w:val="2DB955E5"/>
    <w:rsid w:val="2DDB0C8A"/>
    <w:rsid w:val="2E5D1AEE"/>
    <w:rsid w:val="2E79AEF8"/>
    <w:rsid w:val="2EFF00F6"/>
    <w:rsid w:val="2FEBCB77"/>
    <w:rsid w:val="2FEC1210"/>
    <w:rsid w:val="317E2405"/>
    <w:rsid w:val="31C559E0"/>
    <w:rsid w:val="32E620B2"/>
    <w:rsid w:val="32ED35CA"/>
    <w:rsid w:val="333A0650"/>
    <w:rsid w:val="334D3EDF"/>
    <w:rsid w:val="33C323F3"/>
    <w:rsid w:val="345319C9"/>
    <w:rsid w:val="34EB54B8"/>
    <w:rsid w:val="352A7494"/>
    <w:rsid w:val="369266B5"/>
    <w:rsid w:val="36ED7B86"/>
    <w:rsid w:val="36FF2F54"/>
    <w:rsid w:val="3763681A"/>
    <w:rsid w:val="387E4B3B"/>
    <w:rsid w:val="38DB01C7"/>
    <w:rsid w:val="38E56968"/>
    <w:rsid w:val="39FB251E"/>
    <w:rsid w:val="3A2F94C5"/>
    <w:rsid w:val="3A667F7C"/>
    <w:rsid w:val="3B212C76"/>
    <w:rsid w:val="3B9780CD"/>
    <w:rsid w:val="3BFF0F72"/>
    <w:rsid w:val="3C2459F9"/>
    <w:rsid w:val="3CF7D0BD"/>
    <w:rsid w:val="3D0F3E29"/>
    <w:rsid w:val="3D594F2A"/>
    <w:rsid w:val="3D6873AB"/>
    <w:rsid w:val="3E642A25"/>
    <w:rsid w:val="3EC05384"/>
    <w:rsid w:val="3EF48B2D"/>
    <w:rsid w:val="3FAD6511"/>
    <w:rsid w:val="3FAE43B6"/>
    <w:rsid w:val="3FDDE851"/>
    <w:rsid w:val="3FDFA6F5"/>
    <w:rsid w:val="40B5736A"/>
    <w:rsid w:val="40F9220A"/>
    <w:rsid w:val="423C0698"/>
    <w:rsid w:val="425F6561"/>
    <w:rsid w:val="429C453B"/>
    <w:rsid w:val="43163BC9"/>
    <w:rsid w:val="436D237B"/>
    <w:rsid w:val="450B7B47"/>
    <w:rsid w:val="45F371B5"/>
    <w:rsid w:val="46603AD2"/>
    <w:rsid w:val="47ED3A8B"/>
    <w:rsid w:val="47FE5D5C"/>
    <w:rsid w:val="47FF4973"/>
    <w:rsid w:val="487B1097"/>
    <w:rsid w:val="49C64593"/>
    <w:rsid w:val="4A5F709C"/>
    <w:rsid w:val="4C251AA6"/>
    <w:rsid w:val="4CAE1A3B"/>
    <w:rsid w:val="4D9A3D6D"/>
    <w:rsid w:val="4DAB7D28"/>
    <w:rsid w:val="4E526C20"/>
    <w:rsid w:val="4ED82D9F"/>
    <w:rsid w:val="4EEB146A"/>
    <w:rsid w:val="4F37E4B9"/>
    <w:rsid w:val="50603395"/>
    <w:rsid w:val="509C191A"/>
    <w:rsid w:val="51DB77C9"/>
    <w:rsid w:val="51FDB966"/>
    <w:rsid w:val="527D7845"/>
    <w:rsid w:val="52BC1043"/>
    <w:rsid w:val="52DE294E"/>
    <w:rsid w:val="53986FA1"/>
    <w:rsid w:val="539D45B7"/>
    <w:rsid w:val="53BC54EC"/>
    <w:rsid w:val="53C438F2"/>
    <w:rsid w:val="53E55D97"/>
    <w:rsid w:val="54617179"/>
    <w:rsid w:val="551E7032"/>
    <w:rsid w:val="55346855"/>
    <w:rsid w:val="56496330"/>
    <w:rsid w:val="567F705E"/>
    <w:rsid w:val="57A77A5C"/>
    <w:rsid w:val="57AD28EF"/>
    <w:rsid w:val="57D982D7"/>
    <w:rsid w:val="57FBE884"/>
    <w:rsid w:val="58D77C23"/>
    <w:rsid w:val="5ACB7C5C"/>
    <w:rsid w:val="5B2C37D5"/>
    <w:rsid w:val="5BE78784"/>
    <w:rsid w:val="5C182A2D"/>
    <w:rsid w:val="5C73646F"/>
    <w:rsid w:val="5CDD3C76"/>
    <w:rsid w:val="5D3BD9B5"/>
    <w:rsid w:val="5D4439D0"/>
    <w:rsid w:val="5DA669B9"/>
    <w:rsid w:val="5DC15346"/>
    <w:rsid w:val="5DEB864C"/>
    <w:rsid w:val="5DFFD3C0"/>
    <w:rsid w:val="5DFFEE81"/>
    <w:rsid w:val="5E6EE874"/>
    <w:rsid w:val="5EE96902"/>
    <w:rsid w:val="5F7BA8AE"/>
    <w:rsid w:val="5FBFE4DC"/>
    <w:rsid w:val="5FCC07C9"/>
    <w:rsid w:val="5FD255E8"/>
    <w:rsid w:val="5FD7AB2D"/>
    <w:rsid w:val="5FDB8535"/>
    <w:rsid w:val="5FFF04CD"/>
    <w:rsid w:val="5FFF79BF"/>
    <w:rsid w:val="60255B64"/>
    <w:rsid w:val="618945DA"/>
    <w:rsid w:val="62ED570E"/>
    <w:rsid w:val="634467FD"/>
    <w:rsid w:val="64085A7D"/>
    <w:rsid w:val="64237373"/>
    <w:rsid w:val="64A07A63"/>
    <w:rsid w:val="64B957DA"/>
    <w:rsid w:val="64E654E1"/>
    <w:rsid w:val="65110EF3"/>
    <w:rsid w:val="660B0D74"/>
    <w:rsid w:val="667670F2"/>
    <w:rsid w:val="66941658"/>
    <w:rsid w:val="67BF2057"/>
    <w:rsid w:val="67F500C6"/>
    <w:rsid w:val="67F65F95"/>
    <w:rsid w:val="689A6AB9"/>
    <w:rsid w:val="69AF296E"/>
    <w:rsid w:val="6A184540"/>
    <w:rsid w:val="6A806483"/>
    <w:rsid w:val="6A8E0FBE"/>
    <w:rsid w:val="6AFF79E4"/>
    <w:rsid w:val="6B086362"/>
    <w:rsid w:val="6B2807B2"/>
    <w:rsid w:val="6BC525EA"/>
    <w:rsid w:val="6BD5B242"/>
    <w:rsid w:val="6C1175BA"/>
    <w:rsid w:val="6C89702F"/>
    <w:rsid w:val="6D177280"/>
    <w:rsid w:val="6D1C57AD"/>
    <w:rsid w:val="6D75496F"/>
    <w:rsid w:val="6D7FB344"/>
    <w:rsid w:val="6E7EF9D1"/>
    <w:rsid w:val="6EA34358"/>
    <w:rsid w:val="6EB52382"/>
    <w:rsid w:val="6EED4E82"/>
    <w:rsid w:val="6EF3895D"/>
    <w:rsid w:val="6EF8260D"/>
    <w:rsid w:val="6EFED7DE"/>
    <w:rsid w:val="6EFF4DD2"/>
    <w:rsid w:val="6F141F5D"/>
    <w:rsid w:val="6FF6536A"/>
    <w:rsid w:val="6FFBBED0"/>
    <w:rsid w:val="6FFC8303"/>
    <w:rsid w:val="6FFF358F"/>
    <w:rsid w:val="700F1F41"/>
    <w:rsid w:val="704F4E9C"/>
    <w:rsid w:val="71541F90"/>
    <w:rsid w:val="716B764B"/>
    <w:rsid w:val="71854F84"/>
    <w:rsid w:val="71DD717E"/>
    <w:rsid w:val="73734595"/>
    <w:rsid w:val="737C81F2"/>
    <w:rsid w:val="73BFA690"/>
    <w:rsid w:val="73CE5982"/>
    <w:rsid w:val="73CFA424"/>
    <w:rsid w:val="73DC4A78"/>
    <w:rsid w:val="73E5A3CE"/>
    <w:rsid w:val="73EE7A92"/>
    <w:rsid w:val="743C291A"/>
    <w:rsid w:val="747FD1FA"/>
    <w:rsid w:val="74DF2B69"/>
    <w:rsid w:val="753816C8"/>
    <w:rsid w:val="76DF50A7"/>
    <w:rsid w:val="77512E3F"/>
    <w:rsid w:val="777F1A9D"/>
    <w:rsid w:val="777F503F"/>
    <w:rsid w:val="779171D9"/>
    <w:rsid w:val="77FE1A9D"/>
    <w:rsid w:val="785F13F8"/>
    <w:rsid w:val="795417A0"/>
    <w:rsid w:val="79F713FB"/>
    <w:rsid w:val="79FF4BC4"/>
    <w:rsid w:val="7A2A2E7A"/>
    <w:rsid w:val="7A513882"/>
    <w:rsid w:val="7A7D4386"/>
    <w:rsid w:val="7ADD8697"/>
    <w:rsid w:val="7AECBF8B"/>
    <w:rsid w:val="7AEDCFFF"/>
    <w:rsid w:val="7AFFB290"/>
    <w:rsid w:val="7B3559DB"/>
    <w:rsid w:val="7BB9A1E0"/>
    <w:rsid w:val="7BEF5D5B"/>
    <w:rsid w:val="7BF554CD"/>
    <w:rsid w:val="7BFE6ABA"/>
    <w:rsid w:val="7C2D6FCB"/>
    <w:rsid w:val="7CCD2F68"/>
    <w:rsid w:val="7D4D15A2"/>
    <w:rsid w:val="7D7B4247"/>
    <w:rsid w:val="7DBF2A9A"/>
    <w:rsid w:val="7DC8DCA1"/>
    <w:rsid w:val="7DE67A20"/>
    <w:rsid w:val="7E4F5D83"/>
    <w:rsid w:val="7E7FD636"/>
    <w:rsid w:val="7EBDAFEE"/>
    <w:rsid w:val="7EBF50A3"/>
    <w:rsid w:val="7ECB4467"/>
    <w:rsid w:val="7EEF6041"/>
    <w:rsid w:val="7EF649F8"/>
    <w:rsid w:val="7EF76857"/>
    <w:rsid w:val="7EFBCB8F"/>
    <w:rsid w:val="7EFF2F0E"/>
    <w:rsid w:val="7F6FBE6D"/>
    <w:rsid w:val="7F7B92D6"/>
    <w:rsid w:val="7F7EAE5B"/>
    <w:rsid w:val="7F7FA052"/>
    <w:rsid w:val="7F7FFAB4"/>
    <w:rsid w:val="7F8D69DE"/>
    <w:rsid w:val="7F9D50F2"/>
    <w:rsid w:val="7FBB19F1"/>
    <w:rsid w:val="7FBFD161"/>
    <w:rsid w:val="7FC5E8E4"/>
    <w:rsid w:val="7FCF89EC"/>
    <w:rsid w:val="7FDFFEC1"/>
    <w:rsid w:val="7FE3E12D"/>
    <w:rsid w:val="7FEF0885"/>
    <w:rsid w:val="7FFCC2F8"/>
    <w:rsid w:val="7FFF814B"/>
    <w:rsid w:val="8CFB9A33"/>
    <w:rsid w:val="973F7B4B"/>
    <w:rsid w:val="97DA0DEA"/>
    <w:rsid w:val="99D38448"/>
    <w:rsid w:val="99DF0886"/>
    <w:rsid w:val="9B530142"/>
    <w:rsid w:val="9C7F163F"/>
    <w:rsid w:val="9DDE92CC"/>
    <w:rsid w:val="9E9F0C45"/>
    <w:rsid w:val="9EBBE2AC"/>
    <w:rsid w:val="AE23226B"/>
    <w:rsid w:val="AECDFCE3"/>
    <w:rsid w:val="AFFFD826"/>
    <w:rsid w:val="B2FAFBF9"/>
    <w:rsid w:val="B481AEE6"/>
    <w:rsid w:val="B56C7312"/>
    <w:rsid w:val="B7BBB9BB"/>
    <w:rsid w:val="B7FFE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5C57D"/>
  <w15:docId w15:val="{5297DB1E-BB80-FC45-9005-934368B8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 w:qFormat="1"/>
    <w:lsdException w:name="annotation text" w:semiHidden="1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 w:qFormat="1"/>
    <w:lsdException w:name="annotation reference" w:semiHidden="1"/>
    <w:lsdException w:name="line number" w:semiHidden="1"/>
    <w:lsdException w:name="page number" w:semiHidden="1" w:unhideWhenUsed="1" w:qFormat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 w:qFormat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qFormat="1"/>
    <w:lsdException w:name="HTML Acronym" w:semiHidden="1"/>
    <w:lsdException w:name="HTML Address" w:semiHidden="1"/>
    <w:lsdException w:name="HTML Cite" w:semiHidden="1"/>
    <w:lsdException w:name="HTML Code" w:semiHidden="1" w:qFormat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rFonts w:eastAsia="Times New Roman"/>
      <w:lang w:eastAsia="en-US"/>
    </w:rPr>
  </w:style>
  <w:style w:type="paragraph" w:styleId="1">
    <w:name w:val="heading 1"/>
    <w:basedOn w:val="a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2">
    <w:name w:val="heading 2"/>
    <w:basedOn w:val="a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spacing w:before="360"/>
      <w:ind w:firstLine="0"/>
      <w:outlineLvl w:val="2"/>
    </w:pPr>
  </w:style>
  <w:style w:type="paragraph" w:styleId="4">
    <w:name w:val="heading 4"/>
    <w:basedOn w:val="a"/>
    <w:next w:val="a"/>
    <w:qFormat/>
    <w:pPr>
      <w:spacing w:before="240"/>
      <w:ind w:firstLine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a">
    <w:name w:val="p1a"/>
    <w:basedOn w:val="a"/>
    <w:next w:val="a"/>
    <w:qFormat/>
    <w:pPr>
      <w:ind w:firstLine="0"/>
    </w:pPr>
  </w:style>
  <w:style w:type="paragraph" w:styleId="a3">
    <w:name w:val="footer"/>
    <w:basedOn w:val="a"/>
    <w:semiHidden/>
    <w:unhideWhenUsed/>
    <w:qFormat/>
  </w:style>
  <w:style w:type="paragraph" w:styleId="a4">
    <w:name w:val="header"/>
    <w:basedOn w:val="a"/>
    <w:semiHidden/>
    <w:unhideWhenUsed/>
    <w:qFormat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styleId="a5">
    <w:name w:val="footnote text"/>
    <w:basedOn w:val="a"/>
    <w:semiHidden/>
    <w:qFormat/>
    <w:pPr>
      <w:spacing w:line="220" w:lineRule="atLeast"/>
      <w:ind w:left="227" w:hanging="227"/>
    </w:pPr>
    <w:rPr>
      <w:sz w:val="18"/>
    </w:rPr>
  </w:style>
  <w:style w:type="paragraph" w:styleId="HTML">
    <w:name w:val="HTML Preformatted"/>
    <w:basedOn w:val="a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sz w:val="24"/>
      <w:szCs w:val="24"/>
      <w:lang w:eastAsia="zh-CN"/>
    </w:rPr>
  </w:style>
  <w:style w:type="paragraph" w:styleId="a6">
    <w:name w:val="Normal (Web)"/>
    <w:basedOn w:val="a"/>
    <w:semiHidden/>
    <w:qFormat/>
    <w:pPr>
      <w:spacing w:beforeAutospacing="1" w:afterAutospacing="1"/>
      <w:jc w:val="left"/>
    </w:pPr>
    <w:rPr>
      <w:sz w:val="24"/>
      <w:lang w:eastAsia="zh-CN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unhideWhenUsed/>
    <w:qFormat/>
    <w:rPr>
      <w:sz w:val="18"/>
    </w:rPr>
  </w:style>
  <w:style w:type="character" w:styleId="a9">
    <w:name w:val="Hyperlink"/>
    <w:basedOn w:val="a0"/>
    <w:semiHidden/>
    <w:unhideWhenUsed/>
    <w:qFormat/>
    <w:rPr>
      <w:color w:val="auto"/>
      <w:u w:val="none"/>
    </w:rPr>
  </w:style>
  <w:style w:type="character" w:styleId="HTML0">
    <w:name w:val="HTML Code"/>
    <w:basedOn w:val="a0"/>
    <w:semiHidden/>
    <w:qFormat/>
    <w:rPr>
      <w:rFonts w:ascii="Courier New" w:hAnsi="Courier New"/>
      <w:sz w:val="20"/>
    </w:rPr>
  </w:style>
  <w:style w:type="character" w:styleId="aa">
    <w:name w:val="footnote reference"/>
    <w:basedOn w:val="a0"/>
    <w:semiHidden/>
    <w:unhideWhenUsed/>
    <w:qFormat/>
    <w:rPr>
      <w:position w:val="0"/>
      <w:vertAlign w:val="superscript"/>
    </w:rPr>
  </w:style>
  <w:style w:type="paragraph" w:customStyle="1" w:styleId="abstract">
    <w:name w:val="abstract"/>
    <w:basedOn w:val="a"/>
    <w:qFormat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a"/>
    <w:qFormat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a"/>
    <w:next w:val="address"/>
    <w:qFormat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a"/>
    <w:qFormat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a"/>
    <w:qFormat/>
    <w:pPr>
      <w:numPr>
        <w:numId w:val="2"/>
      </w:numPr>
      <w:spacing w:before="160" w:after="160"/>
      <w:contextualSpacing/>
    </w:pPr>
  </w:style>
  <w:style w:type="character" w:customStyle="1" w:styleId="e-mail">
    <w:name w:val="e-mail"/>
    <w:basedOn w:val="a0"/>
    <w:qFormat/>
    <w:rPr>
      <w:rFonts w:ascii="Courier" w:hAnsi="Courier"/>
    </w:rPr>
  </w:style>
  <w:style w:type="paragraph" w:customStyle="1" w:styleId="equation">
    <w:name w:val="equation"/>
    <w:basedOn w:val="a"/>
    <w:next w:val="a"/>
    <w:qFormat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a"/>
    <w:next w:val="a"/>
    <w:qFormat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a"/>
    <w:next w:val="p1a"/>
    <w:qFormat/>
    <w:pPr>
      <w:keepNext/>
      <w:keepLines/>
      <w:numPr>
        <w:numId w:val="3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a"/>
    <w:next w:val="p1a"/>
    <w:qFormat/>
    <w:pPr>
      <w:keepNext/>
      <w:keepLines/>
      <w:numPr>
        <w:ilvl w:val="1"/>
        <w:numId w:val="3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a0"/>
    <w:qFormat/>
    <w:rPr>
      <w:b/>
    </w:rPr>
  </w:style>
  <w:style w:type="paragraph" w:customStyle="1" w:styleId="acknowlegments">
    <w:name w:val="acknowlegments"/>
    <w:basedOn w:val="a"/>
    <w:qFormat/>
    <w:pPr>
      <w:spacing w:before="240" w:line="220" w:lineRule="atLeast"/>
      <w:ind w:firstLine="0"/>
    </w:pPr>
    <w:rPr>
      <w:sz w:val="18"/>
    </w:rPr>
  </w:style>
  <w:style w:type="character" w:customStyle="1" w:styleId="heading4">
    <w:name w:val="heading4"/>
    <w:basedOn w:val="a0"/>
    <w:qFormat/>
    <w:rPr>
      <w:i/>
    </w:rPr>
  </w:style>
  <w:style w:type="paragraph" w:customStyle="1" w:styleId="image">
    <w:name w:val="image"/>
    <w:basedOn w:val="a"/>
    <w:next w:val="a"/>
    <w:qFormat/>
    <w:pPr>
      <w:spacing w:before="240" w:after="120"/>
      <w:ind w:firstLine="0"/>
      <w:jc w:val="center"/>
    </w:pPr>
  </w:style>
  <w:style w:type="paragraph" w:customStyle="1" w:styleId="keywords">
    <w:name w:val="keywords"/>
    <w:basedOn w:val="abstract"/>
    <w:next w:val="heading1"/>
    <w:qFormat/>
    <w:pPr>
      <w:spacing w:before="220"/>
      <w:ind w:firstLine="0"/>
      <w:contextualSpacing w:val="0"/>
      <w:jc w:val="left"/>
    </w:pPr>
  </w:style>
  <w:style w:type="paragraph" w:customStyle="1" w:styleId="numitem">
    <w:name w:val="numitem"/>
    <w:basedOn w:val="a"/>
    <w:qFormat/>
    <w:pPr>
      <w:numPr>
        <w:numId w:val="4"/>
      </w:numPr>
      <w:spacing w:before="160" w:after="160"/>
      <w:contextualSpacing/>
    </w:pPr>
  </w:style>
  <w:style w:type="paragraph" w:customStyle="1" w:styleId="programcode">
    <w:name w:val="programcode"/>
    <w:basedOn w:val="a"/>
    <w:qFormat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a"/>
    <w:qFormat/>
    <w:pPr>
      <w:numPr>
        <w:numId w:val="5"/>
      </w:numPr>
      <w:spacing w:line="220" w:lineRule="atLeast"/>
    </w:pPr>
    <w:rPr>
      <w:sz w:val="18"/>
    </w:rPr>
  </w:style>
  <w:style w:type="paragraph" w:customStyle="1" w:styleId="runningheadleft">
    <w:name w:val="runninghead left"/>
    <w:basedOn w:val="a"/>
    <w:qFormat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a"/>
    <w:qFormat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papertitle">
    <w:name w:val="papertitle"/>
    <w:basedOn w:val="a"/>
    <w:next w:val="author"/>
    <w:qFormat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qFormat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a"/>
    <w:next w:val="a"/>
    <w:qFormat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a0"/>
    <w:qFormat/>
    <w:rPr>
      <w:rFonts w:ascii="Courier" w:hAnsi="Courier"/>
    </w:rPr>
  </w:style>
  <w:style w:type="character" w:customStyle="1" w:styleId="ORCID">
    <w:name w:val="ORCID"/>
    <w:basedOn w:val="a0"/>
    <w:qFormat/>
    <w:rPr>
      <w:position w:val="0"/>
      <w:vertAlign w:val="superscript"/>
    </w:rPr>
  </w:style>
  <w:style w:type="paragraph" w:customStyle="1" w:styleId="ReferenceLine">
    <w:name w:val="ReferenceLine"/>
    <w:basedOn w:val="p1a"/>
    <w:semiHidden/>
    <w:unhideWhenUsed/>
    <w:qFormat/>
    <w:pPr>
      <w:spacing w:line="200" w:lineRule="exact"/>
    </w:pPr>
    <w:rPr>
      <w:sz w:val="16"/>
    </w:rPr>
  </w:style>
  <w:style w:type="table" w:styleId="ab">
    <w:name w:val="Grid Table Light"/>
    <w:basedOn w:val="a1"/>
    <w:uiPriority w:val="40"/>
    <w:rsid w:val="0048573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3033</Words>
  <Characters>17290</Characters>
  <Application>Microsoft Office Word</Application>
  <DocSecurity>0</DocSecurity>
  <Lines>144</Lines>
  <Paragraphs>40</Paragraphs>
  <ScaleCrop>false</ScaleCrop>
  <Company>dataspect IT-Services, Neckargemuend, Germany</Company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dc:description>Styles and macros for Springer Lecture Notes</dc:description>
  <cp:lastModifiedBy>Microsoft Office User</cp:lastModifiedBy>
  <cp:revision>13</cp:revision>
  <dcterms:created xsi:type="dcterms:W3CDTF">2026-04-30T06:22:00Z</dcterms:created>
  <dcterms:modified xsi:type="dcterms:W3CDTF">2026-04-30T06:33:00Z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eyJoZGlkIjoiOTUzN2E0Mjc4Y2ZhOTQzNDlkYThhNjQyYjU3ZTM4ZjMiLCJ1c2VySWQiOiI0MjIxMjc5MzUifQ==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092A71EBDEF0AF63A25BF169316998B5_43</vt:lpwstr>
  </property>
</Properties>
</file>