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3D5C"/>
          <w:sz w:val="24"/>
        </w:rPr>
        <w:t>Harbourline Energy Co.</w:t>
      </w:r>
    </w:p>
    <w:p>
      <w:pPr>
        <w:pStyle w:val="Title"/>
      </w:pPr>
      <w:r>
        <w:t>Vegetation Management Procedure</w:t>
      </w:r>
    </w:p>
    <w:tbl>
      <w:tblPr>
        <w:tblStyle w:val="TableGrid"/>
        <w:tblW w:type="auto" w:w="0"/>
        <w:tblLook w:firstColumn="1" w:firstRow="1" w:lastColumn="0" w:lastRow="0" w:noHBand="0" w:noVBand="1" w:val="04A0"/>
      </w:tblPr>
      <w:tblGrid>
        <w:gridCol w:w="4680"/>
        <w:gridCol w:w="4680"/>
      </w:tblGrid>
      <w:tr>
        <w:tc>
          <w:tcPr>
            <w:tcW w:type="dxa" w:w="2592"/>
          </w:tcPr>
          <w:p>
            <w:r/>
            <w:r>
              <w:rPr>
                <w:b/>
                <w:sz w:val="20"/>
              </w:rPr>
              <w:t>Field</w:t>
            </w:r>
          </w:p>
        </w:tc>
        <w:tc>
          <w:tcPr>
            <w:tcW w:type="dxa" w:w="6768"/>
          </w:tcPr>
          <w:p>
            <w:r/>
            <w:r>
              <w:rPr>
                <w:b/>
                <w:sz w:val="20"/>
              </w:rPr>
              <w:t>Value</w:t>
            </w:r>
          </w:p>
        </w:tc>
      </w:tr>
      <w:tr>
        <w:tc>
          <w:tcPr>
            <w:tcW w:type="dxa" w:w="2592"/>
          </w:tcPr>
          <w:p>
            <w:r/>
            <w:r>
              <w:rPr>
                <w:sz w:val="20"/>
              </w:rPr>
              <w:t>Document ID</w:t>
            </w:r>
          </w:p>
        </w:tc>
        <w:tc>
          <w:tcPr>
            <w:tcW w:type="dxa" w:w="6768"/>
          </w:tcPr>
          <w:p>
            <w:r/>
            <w:r>
              <w:rPr>
                <w:sz w:val="20"/>
              </w:rPr>
              <w:t>OPS-PRO-009</w:t>
            </w:r>
          </w:p>
        </w:tc>
      </w:tr>
      <w:tr>
        <w:tc>
          <w:tcPr>
            <w:tcW w:type="dxa" w:w="2592"/>
          </w:tcPr>
          <w:p>
            <w:r/>
            <w:r>
              <w:rPr>
                <w:sz w:val="20"/>
              </w:rPr>
              <w:t>Revision</w:t>
            </w:r>
          </w:p>
        </w:tc>
        <w:tc>
          <w:tcPr>
            <w:tcW w:type="dxa" w:w="6768"/>
          </w:tcPr>
          <w:p>
            <w:r/>
            <w:r>
              <w:rPr>
                <w:sz w:val="20"/>
              </w:rPr>
              <w:t>6</w:t>
            </w:r>
          </w:p>
        </w:tc>
      </w:tr>
      <w:tr>
        <w:tc>
          <w:tcPr>
            <w:tcW w:type="dxa" w:w="2592"/>
          </w:tcPr>
          <w:p>
            <w:r/>
            <w:r>
              <w:rPr>
                <w:sz w:val="20"/>
              </w:rPr>
              <w:t>Effective date</w:t>
            </w:r>
          </w:p>
        </w:tc>
        <w:tc>
          <w:tcPr>
            <w:tcW w:type="dxa" w:w="6768"/>
          </w:tcPr>
          <w:p>
            <w:r/>
            <w:r>
              <w:rPr>
                <w:sz w:val="20"/>
              </w:rPr>
              <w:t>April 1, 2026</w:t>
            </w:r>
          </w:p>
        </w:tc>
      </w:tr>
      <w:tr>
        <w:tc>
          <w:tcPr>
            <w:tcW w:type="dxa" w:w="2592"/>
          </w:tcPr>
          <w:p>
            <w:r/>
            <w:r>
              <w:rPr>
                <w:sz w:val="20"/>
              </w:rPr>
              <w:t>Next review</w:t>
            </w:r>
          </w:p>
        </w:tc>
        <w:tc>
          <w:tcPr>
            <w:tcW w:type="dxa" w:w="6768"/>
          </w:tcPr>
          <w:p>
            <w:r/>
            <w:r>
              <w:rPr>
                <w:sz w:val="20"/>
              </w:rPr>
              <w:t>April 1, 2027</w:t>
            </w:r>
          </w:p>
        </w:tc>
      </w:tr>
      <w:tr>
        <w:tc>
          <w:tcPr>
            <w:tcW w:type="dxa" w:w="2592"/>
          </w:tcPr>
          <w:p>
            <w:r/>
            <w:r>
              <w:rPr>
                <w:sz w:val="20"/>
              </w:rPr>
              <w:t>Document owner</w:t>
            </w:r>
          </w:p>
        </w:tc>
        <w:tc>
          <w:tcPr>
            <w:tcW w:type="dxa" w:w="6768"/>
          </w:tcPr>
          <w:p>
            <w:r/>
            <w:r>
              <w:rPr>
                <w:sz w:val="20"/>
              </w:rPr>
              <w:t>Colleen Yarrow, Manager, Forestry and Vegetation Management</w:t>
            </w:r>
          </w:p>
        </w:tc>
      </w:tr>
      <w:tr>
        <w:tc>
          <w:tcPr>
            <w:tcW w:type="dxa" w:w="2592"/>
          </w:tcPr>
          <w:p>
            <w:r/>
            <w:r>
              <w:rPr>
                <w:sz w:val="20"/>
              </w:rPr>
              <w:t>Approved by</w:t>
            </w:r>
          </w:p>
        </w:tc>
        <w:tc>
          <w:tcPr>
            <w:tcW w:type="dxa" w:w="6768"/>
          </w:tcPr>
          <w:p>
            <w:r/>
            <w:r>
              <w:rPr>
                <w:sz w:val="20"/>
              </w:rPr>
              <w:t>Renata Okafor, Director, Distribution Operations</w:t>
            </w:r>
          </w:p>
        </w:tc>
      </w:tr>
      <w:tr>
        <w:tc>
          <w:tcPr>
            <w:tcW w:type="dxa" w:w="2592"/>
          </w:tcPr>
          <w:p>
            <w:r/>
            <w:r>
              <w:rPr>
                <w:sz w:val="20"/>
              </w:rPr>
              <w:t>Applies to</w:t>
            </w:r>
          </w:p>
        </w:tc>
        <w:tc>
          <w:tcPr>
            <w:tcW w:type="dxa" w:w="6768"/>
          </w:tcPr>
          <w:p>
            <w:r/>
            <w:r>
              <w:rPr>
                <w:sz w:val="20"/>
              </w:rPr>
              <w:t>Forestry staff, line clearance contractors and planners in all regions</w:t>
            </w:r>
          </w:p>
        </w:tc>
      </w:tr>
    </w:tbl>
    <w:p/>
    <w:p>
      <w:pPr>
        <w:pStyle w:val="Heading1"/>
      </w:pPr>
      <w:r>
        <w:t>1. Purpose</w:t>
      </w:r>
    </w:p>
    <w:p>
      <w:r>
        <w:t>Trees contacting power lines are the leading cause of outage minutes on the Harbourline distribution system. This procedure sets the trim cycles, clearance distances, hazard tree practices and customer notification rules that Harbourline and its line clearance contractors follow.</w:t>
      </w:r>
    </w:p>
    <w:p>
      <w:pPr>
        <w:pStyle w:val="Heading1"/>
      </w:pPr>
      <w:r>
        <w:t>2. Scope</w:t>
      </w:r>
    </w:p>
    <w:p>
      <w:r>
        <w:t>The procedure applies to all overhead transmission, sub-transmission and distribution lines in Ontario, New York and Ohio. Transmission lines operated at 200 kV and above are also managed to meet NERC FAC-003 requirements, which take precedence where they are more stringent.</w:t>
      </w:r>
    </w:p>
    <w:p>
      <w:pPr>
        <w:pStyle w:val="Heading1"/>
      </w:pPr>
      <w:r>
        <w:t>3. Trim Cycles by Circuit Type</w:t>
      </w:r>
    </w:p>
    <w:p>
      <w:r>
        <w:t>The trim cycle is the planned interval between full maintenance trims on the same circuit. Cycles are set by circuit type and area.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b/>
                <w:sz w:val="20"/>
              </w:rPr>
              <w:t>Circuit type</w:t>
            </w:r>
          </w:p>
        </w:tc>
        <w:tc>
          <w:tcPr>
            <w:tcW w:type="dxa" w:w="1872"/>
          </w:tcPr>
          <w:p>
            <w:r/>
            <w:r>
              <w:rPr>
                <w:b/>
                <w:sz w:val="20"/>
              </w:rPr>
              <w:t>Typical voltage</w:t>
            </w:r>
          </w:p>
        </w:tc>
        <w:tc>
          <w:tcPr>
            <w:tcW w:type="dxa" w:w="1872"/>
          </w:tcPr>
          <w:p>
            <w:r/>
            <w:r>
              <w:rPr>
                <w:b/>
                <w:sz w:val="20"/>
              </w:rPr>
              <w:t>Urban cycle</w:t>
            </w:r>
          </w:p>
        </w:tc>
        <w:tc>
          <w:tcPr>
            <w:tcW w:type="dxa" w:w="1872"/>
          </w:tcPr>
          <w:p>
            <w:r/>
            <w:r>
              <w:rPr>
                <w:b/>
                <w:sz w:val="20"/>
              </w:rPr>
              <w:t>Rural cycle</w:t>
            </w:r>
          </w:p>
        </w:tc>
        <w:tc>
          <w:tcPr>
            <w:tcW w:type="dxa" w:w="1872"/>
          </w:tcPr>
          <w:p>
            <w:r/>
            <w:r>
              <w:rPr>
                <w:b/>
                <w:sz w:val="20"/>
              </w:rPr>
              <w:t>Patrol</w:t>
            </w:r>
          </w:p>
        </w:tc>
      </w:tr>
      <w:tr>
        <w:tc>
          <w:tcPr>
            <w:tcW w:type="dxa" w:w="1872"/>
          </w:tcPr>
          <w:p>
            <w:r/>
            <w:r>
              <w:rPr>
                <w:sz w:val="20"/>
              </w:rPr>
              <w:t>Transmission right of way</w:t>
            </w:r>
          </w:p>
        </w:tc>
        <w:tc>
          <w:tcPr>
            <w:tcW w:type="dxa" w:w="1872"/>
          </w:tcPr>
          <w:p>
            <w:r/>
            <w:r>
              <w:rPr>
                <w:sz w:val="20"/>
              </w:rPr>
              <w:t>115 kV, 138 kV, 230 kV</w:t>
            </w:r>
          </w:p>
        </w:tc>
        <w:tc>
          <w:tcPr>
            <w:tcW w:type="dxa" w:w="1872"/>
          </w:tcPr>
          <w:p>
            <w:r/>
            <w:r>
              <w:rPr>
                <w:sz w:val="20"/>
              </w:rPr>
              <w:t>5 years</w:t>
            </w:r>
          </w:p>
        </w:tc>
        <w:tc>
          <w:tcPr>
            <w:tcW w:type="dxa" w:w="1872"/>
          </w:tcPr>
          <w:p>
            <w:r/>
            <w:r>
              <w:rPr>
                <w:sz w:val="20"/>
              </w:rPr>
              <w:t>5 years</w:t>
            </w:r>
          </w:p>
        </w:tc>
        <w:tc>
          <w:tcPr>
            <w:tcW w:type="dxa" w:w="1872"/>
          </w:tcPr>
          <w:p>
            <w:r/>
            <w:r>
              <w:rPr>
                <w:sz w:val="20"/>
              </w:rPr>
              <w:t>Aerial patrol twice a year; LiDAR survey every 2 years</w:t>
            </w:r>
          </w:p>
        </w:tc>
      </w:tr>
      <w:tr>
        <w:tc>
          <w:tcPr>
            <w:tcW w:type="dxa" w:w="1872"/>
          </w:tcPr>
          <w:p>
            <w:r/>
            <w:r>
              <w:rPr>
                <w:sz w:val="20"/>
              </w:rPr>
              <w:t>Sub-transmission</w:t>
            </w:r>
          </w:p>
        </w:tc>
        <w:tc>
          <w:tcPr>
            <w:tcW w:type="dxa" w:w="1872"/>
          </w:tcPr>
          <w:p>
            <w:r/>
            <w:r>
              <w:rPr>
                <w:sz w:val="20"/>
              </w:rPr>
              <w:t>44 kV (ON), 34.5 kV (NY, OH)</w:t>
            </w:r>
          </w:p>
        </w:tc>
        <w:tc>
          <w:tcPr>
            <w:tcW w:type="dxa" w:w="1872"/>
          </w:tcPr>
          <w:p>
            <w:r/>
            <w:r>
              <w:rPr>
                <w:sz w:val="20"/>
              </w:rPr>
              <w:t>4 years</w:t>
            </w:r>
          </w:p>
        </w:tc>
        <w:tc>
          <w:tcPr>
            <w:tcW w:type="dxa" w:w="1872"/>
          </w:tcPr>
          <w:p>
            <w:r/>
            <w:r>
              <w:rPr>
                <w:sz w:val="20"/>
              </w:rPr>
              <w:t>4 years</w:t>
            </w:r>
          </w:p>
        </w:tc>
        <w:tc>
          <w:tcPr>
            <w:tcW w:type="dxa" w:w="1872"/>
          </w:tcPr>
          <w:p>
            <w:r/>
            <w:r>
              <w:rPr>
                <w:sz w:val="20"/>
              </w:rPr>
              <w:t>Ground patrol annually</w:t>
            </w:r>
          </w:p>
        </w:tc>
      </w:tr>
      <w:tr>
        <w:tc>
          <w:tcPr>
            <w:tcW w:type="dxa" w:w="1872"/>
          </w:tcPr>
          <w:p>
            <w:r/>
            <w:r>
              <w:rPr>
                <w:sz w:val="20"/>
              </w:rPr>
              <w:t>Three phase distribution mainline</w:t>
            </w:r>
          </w:p>
        </w:tc>
        <w:tc>
          <w:tcPr>
            <w:tcW w:type="dxa" w:w="1872"/>
          </w:tcPr>
          <w:p>
            <w:r/>
            <w:r>
              <w:rPr>
                <w:sz w:val="20"/>
              </w:rPr>
              <w:t>27.6 kV, 13.8 kV, 13.2 kV, 12.47 kV</w:t>
            </w:r>
          </w:p>
        </w:tc>
        <w:tc>
          <w:tcPr>
            <w:tcW w:type="dxa" w:w="1872"/>
          </w:tcPr>
          <w:p>
            <w:r/>
            <w:r>
              <w:rPr>
                <w:sz w:val="20"/>
              </w:rPr>
              <w:t>3 years</w:t>
            </w:r>
          </w:p>
        </w:tc>
        <w:tc>
          <w:tcPr>
            <w:tcW w:type="dxa" w:w="1872"/>
          </w:tcPr>
          <w:p>
            <w:r/>
            <w:r>
              <w:rPr>
                <w:sz w:val="20"/>
              </w:rPr>
              <w:t>4 years</w:t>
            </w:r>
          </w:p>
        </w:tc>
        <w:tc>
          <w:tcPr>
            <w:tcW w:type="dxa" w:w="1872"/>
          </w:tcPr>
          <w:p>
            <w:r/>
            <w:r>
              <w:rPr>
                <w:sz w:val="20"/>
              </w:rPr>
              <w:t>Ground patrol annually</w:t>
            </w:r>
          </w:p>
        </w:tc>
      </w:tr>
      <w:tr>
        <w:tc>
          <w:tcPr>
            <w:tcW w:type="dxa" w:w="1872"/>
          </w:tcPr>
          <w:p>
            <w:r/>
            <w:r>
              <w:rPr>
                <w:sz w:val="20"/>
              </w:rPr>
              <w:t>Single phase lateral</w:t>
            </w:r>
          </w:p>
        </w:tc>
        <w:tc>
          <w:tcPr>
            <w:tcW w:type="dxa" w:w="1872"/>
          </w:tcPr>
          <w:p>
            <w:r/>
            <w:r>
              <w:rPr>
                <w:sz w:val="20"/>
              </w:rPr>
              <w:t>16 kV, 8 kV, 7.6 kV, 7.2 kV</w:t>
            </w:r>
          </w:p>
        </w:tc>
        <w:tc>
          <w:tcPr>
            <w:tcW w:type="dxa" w:w="1872"/>
          </w:tcPr>
          <w:p>
            <w:r/>
            <w:r>
              <w:rPr>
                <w:sz w:val="20"/>
              </w:rPr>
              <w:t>5 years</w:t>
            </w:r>
          </w:p>
        </w:tc>
        <w:tc>
          <w:tcPr>
            <w:tcW w:type="dxa" w:w="1872"/>
          </w:tcPr>
          <w:p>
            <w:r/>
            <w:r>
              <w:rPr>
                <w:sz w:val="20"/>
              </w:rPr>
              <w:t>6 years</w:t>
            </w:r>
          </w:p>
        </w:tc>
        <w:tc>
          <w:tcPr>
            <w:tcW w:type="dxa" w:w="1872"/>
          </w:tcPr>
          <w:p>
            <w:r/>
            <w:r>
              <w:rPr>
                <w:sz w:val="20"/>
              </w:rPr>
              <w:t>Visual check at each trim</w:t>
            </w:r>
          </w:p>
        </w:tc>
      </w:tr>
      <w:tr>
        <w:tc>
          <w:tcPr>
            <w:tcW w:type="dxa" w:w="1872"/>
          </w:tcPr>
          <w:p>
            <w:r/>
            <w:r>
              <w:rPr>
                <w:sz w:val="20"/>
              </w:rPr>
              <w:t>Secondary and service drops</w:t>
            </w:r>
          </w:p>
        </w:tc>
        <w:tc>
          <w:tcPr>
            <w:tcW w:type="dxa" w:w="1872"/>
          </w:tcPr>
          <w:p>
            <w:r/>
            <w:r>
              <w:rPr>
                <w:sz w:val="20"/>
              </w:rPr>
              <w:t>120/240 V, 347/600 V</w:t>
            </w:r>
          </w:p>
        </w:tc>
        <w:tc>
          <w:tcPr>
            <w:tcW w:type="dxa" w:w="1872"/>
          </w:tcPr>
          <w:p>
            <w:r/>
            <w:r>
              <w:rPr>
                <w:sz w:val="20"/>
              </w:rPr>
              <w:t>On request</w:t>
            </w:r>
          </w:p>
        </w:tc>
        <w:tc>
          <w:tcPr>
            <w:tcW w:type="dxa" w:w="1872"/>
          </w:tcPr>
          <w:p>
            <w:r/>
            <w:r>
              <w:rPr>
                <w:sz w:val="20"/>
              </w:rPr>
              <w:t>On request</w:t>
            </w:r>
          </w:p>
        </w:tc>
        <w:tc>
          <w:tcPr>
            <w:tcW w:type="dxa" w:w="1872"/>
          </w:tcPr>
          <w:p>
            <w:r/>
            <w:r>
              <w:rPr>
                <w:sz w:val="20"/>
              </w:rPr>
              <w:t>Reactive only</w:t>
            </w:r>
          </w:p>
        </w:tc>
      </w:tr>
    </w:tbl>
    <w:p/>
    <w:p>
      <w:pPr>
        <w:pStyle w:val="Heading2"/>
      </w:pPr>
      <w:r>
        <w:t>3.1 Cycle acceleration</w:t>
      </w:r>
    </w:p>
    <w:p>
      <w:r>
        <w:t>Any feeder in the worst performing 5 percent by tree caused customer interruptions over the last 3 years is trimmed in the next work plan year regardless of its cycle position.</w:t>
      </w:r>
    </w:p>
    <w:p>
      <w:pPr>
        <w:pStyle w:val="Heading1"/>
      </w:pPr>
      <w:r>
        <w:t>4. Clearance Distances at Time of Trim</w:t>
      </w:r>
    </w:p>
    <w:p>
      <w:r>
        <w:t>Clearances are measured from the nearest conductor at maximum sag. The side clearance applies horizontally; overhang is removed above the conductor to the height shown.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sz w:val="20"/>
              </w:rPr>
              <w:t>Circuit type</w:t>
            </w:r>
          </w:p>
        </w:tc>
        <w:tc>
          <w:tcPr>
            <w:tcW w:type="dxa" w:w="2340"/>
          </w:tcPr>
          <w:p>
            <w:r/>
            <w:r>
              <w:rPr>
                <w:b/>
                <w:sz w:val="20"/>
              </w:rPr>
              <w:t>Side clearance</w:t>
            </w:r>
          </w:p>
        </w:tc>
        <w:tc>
          <w:tcPr>
            <w:tcW w:type="dxa" w:w="2340"/>
          </w:tcPr>
          <w:p>
            <w:r/>
            <w:r>
              <w:rPr>
                <w:b/>
                <w:sz w:val="20"/>
              </w:rPr>
              <w:t>Below conductor</w:t>
            </w:r>
          </w:p>
        </w:tc>
        <w:tc>
          <w:tcPr>
            <w:tcW w:type="dxa" w:w="2340"/>
          </w:tcPr>
          <w:p>
            <w:r/>
            <w:r>
              <w:rPr>
                <w:b/>
                <w:sz w:val="20"/>
              </w:rPr>
              <w:t>Overhang removal above conductor</w:t>
            </w:r>
          </w:p>
        </w:tc>
      </w:tr>
      <w:tr>
        <w:tc>
          <w:tcPr>
            <w:tcW w:type="dxa" w:w="2340"/>
          </w:tcPr>
          <w:p>
            <w:r/>
            <w:r>
              <w:rPr>
                <w:sz w:val="20"/>
              </w:rPr>
              <w:t>Transmission 230 kV</w:t>
            </w:r>
          </w:p>
        </w:tc>
        <w:tc>
          <w:tcPr>
            <w:tcW w:type="dxa" w:w="2340"/>
          </w:tcPr>
          <w:p>
            <w:r/>
            <w:r>
              <w:rPr>
                <w:sz w:val="20"/>
              </w:rPr>
              <w:t>9.0 m (30 ft)</w:t>
            </w:r>
          </w:p>
        </w:tc>
        <w:tc>
          <w:tcPr>
            <w:tcW w:type="dxa" w:w="2340"/>
          </w:tcPr>
          <w:p>
            <w:r/>
            <w:r>
              <w:rPr>
                <w:sz w:val="20"/>
              </w:rPr>
              <w:t>Full ROW floor clearing</w:t>
            </w:r>
          </w:p>
        </w:tc>
        <w:tc>
          <w:tcPr>
            <w:tcW w:type="dxa" w:w="2340"/>
          </w:tcPr>
          <w:p>
            <w:r/>
            <w:r>
              <w:rPr>
                <w:sz w:val="20"/>
              </w:rPr>
              <w:t>Remove all overhang</w:t>
            </w:r>
          </w:p>
        </w:tc>
      </w:tr>
      <w:tr>
        <w:tc>
          <w:tcPr>
            <w:tcW w:type="dxa" w:w="2340"/>
          </w:tcPr>
          <w:p>
            <w:r/>
            <w:r>
              <w:rPr>
                <w:sz w:val="20"/>
              </w:rPr>
              <w:t>Transmission 115 kV and 138 kV</w:t>
            </w:r>
          </w:p>
        </w:tc>
        <w:tc>
          <w:tcPr>
            <w:tcW w:type="dxa" w:w="2340"/>
          </w:tcPr>
          <w:p>
            <w:r/>
            <w:r>
              <w:rPr>
                <w:sz w:val="20"/>
              </w:rPr>
              <w:t>7.5 m (25 ft)</w:t>
            </w:r>
          </w:p>
        </w:tc>
        <w:tc>
          <w:tcPr>
            <w:tcW w:type="dxa" w:w="2340"/>
          </w:tcPr>
          <w:p>
            <w:r/>
            <w:r>
              <w:rPr>
                <w:sz w:val="20"/>
              </w:rPr>
              <w:t>Full ROW floor clearing</w:t>
            </w:r>
          </w:p>
        </w:tc>
        <w:tc>
          <w:tcPr>
            <w:tcW w:type="dxa" w:w="2340"/>
          </w:tcPr>
          <w:p>
            <w:r/>
            <w:r>
              <w:rPr>
                <w:sz w:val="20"/>
              </w:rPr>
              <w:t>Remove all overhang</w:t>
            </w:r>
          </w:p>
        </w:tc>
      </w:tr>
      <w:tr>
        <w:tc>
          <w:tcPr>
            <w:tcW w:type="dxa" w:w="2340"/>
          </w:tcPr>
          <w:p>
            <w:r/>
            <w:r>
              <w:rPr>
                <w:sz w:val="20"/>
              </w:rPr>
              <w:t>Sub-transmission 34.5 kV and 44 kV</w:t>
            </w:r>
          </w:p>
        </w:tc>
        <w:tc>
          <w:tcPr>
            <w:tcW w:type="dxa" w:w="2340"/>
          </w:tcPr>
          <w:p>
            <w:r/>
            <w:r>
              <w:rPr>
                <w:sz w:val="20"/>
              </w:rPr>
              <w:t>4.5 m (15 ft)</w:t>
            </w:r>
          </w:p>
        </w:tc>
        <w:tc>
          <w:tcPr>
            <w:tcW w:type="dxa" w:w="2340"/>
          </w:tcPr>
          <w:p>
            <w:r/>
            <w:r>
              <w:rPr>
                <w:sz w:val="20"/>
              </w:rPr>
              <w:t>3.0 m (10 ft)</w:t>
            </w:r>
          </w:p>
        </w:tc>
        <w:tc>
          <w:tcPr>
            <w:tcW w:type="dxa" w:w="2340"/>
          </w:tcPr>
          <w:p>
            <w:r/>
            <w:r>
              <w:rPr>
                <w:sz w:val="20"/>
              </w:rPr>
              <w:t>Remove all overhang</w:t>
            </w:r>
          </w:p>
        </w:tc>
      </w:tr>
      <w:tr>
        <w:tc>
          <w:tcPr>
            <w:tcW w:type="dxa" w:w="2340"/>
          </w:tcPr>
          <w:p>
            <w:r/>
            <w:r>
              <w:rPr>
                <w:sz w:val="20"/>
              </w:rPr>
              <w:t>Three phase mainline</w:t>
            </w:r>
          </w:p>
        </w:tc>
        <w:tc>
          <w:tcPr>
            <w:tcW w:type="dxa" w:w="2340"/>
          </w:tcPr>
          <w:p>
            <w:r/>
            <w:r>
              <w:rPr>
                <w:sz w:val="20"/>
              </w:rPr>
              <w:t>3.0 m (10 ft)</w:t>
            </w:r>
          </w:p>
        </w:tc>
        <w:tc>
          <w:tcPr>
            <w:tcW w:type="dxa" w:w="2340"/>
          </w:tcPr>
          <w:p>
            <w:r/>
            <w:r>
              <w:rPr>
                <w:sz w:val="20"/>
              </w:rPr>
              <w:t>3.0 m (10 ft)</w:t>
            </w:r>
          </w:p>
        </w:tc>
        <w:tc>
          <w:tcPr>
            <w:tcW w:type="dxa" w:w="2340"/>
          </w:tcPr>
          <w:p>
            <w:r/>
            <w:r>
              <w:rPr>
                <w:sz w:val="20"/>
              </w:rPr>
              <w:t>4.5 m (15 ft)</w:t>
            </w:r>
          </w:p>
        </w:tc>
      </w:tr>
      <w:tr>
        <w:tc>
          <w:tcPr>
            <w:tcW w:type="dxa" w:w="2340"/>
          </w:tcPr>
          <w:p>
            <w:r/>
            <w:r>
              <w:rPr>
                <w:sz w:val="20"/>
              </w:rPr>
              <w:t>Single phase lateral</w:t>
            </w:r>
          </w:p>
        </w:tc>
        <w:tc>
          <w:tcPr>
            <w:tcW w:type="dxa" w:w="2340"/>
          </w:tcPr>
          <w:p>
            <w:r/>
            <w:r>
              <w:rPr>
                <w:sz w:val="20"/>
              </w:rPr>
              <w:t>2.5 m (8 ft)</w:t>
            </w:r>
          </w:p>
        </w:tc>
        <w:tc>
          <w:tcPr>
            <w:tcW w:type="dxa" w:w="2340"/>
          </w:tcPr>
          <w:p>
            <w:r/>
            <w:r>
              <w:rPr>
                <w:sz w:val="20"/>
              </w:rPr>
              <w:t>2.5 m (8 ft)</w:t>
            </w:r>
          </w:p>
        </w:tc>
        <w:tc>
          <w:tcPr>
            <w:tcW w:type="dxa" w:w="2340"/>
          </w:tcPr>
          <w:p>
            <w:r/>
            <w:r>
              <w:rPr>
                <w:sz w:val="20"/>
              </w:rPr>
              <w:t>3.0 m (10 ft)</w:t>
            </w:r>
          </w:p>
        </w:tc>
      </w:tr>
      <w:tr>
        <w:tc>
          <w:tcPr>
            <w:tcW w:type="dxa" w:w="2340"/>
          </w:tcPr>
          <w:p>
            <w:r/>
            <w:r>
              <w:rPr>
                <w:sz w:val="20"/>
              </w:rPr>
              <w:t>Secondary and services</w:t>
            </w:r>
          </w:p>
        </w:tc>
        <w:tc>
          <w:tcPr>
            <w:tcW w:type="dxa" w:w="2340"/>
          </w:tcPr>
          <w:p>
            <w:r/>
            <w:r>
              <w:rPr>
                <w:sz w:val="20"/>
              </w:rPr>
              <w:t>0.5 m (1.5 ft) and no strain on the conductor</w:t>
            </w:r>
          </w:p>
        </w:tc>
        <w:tc>
          <w:tcPr>
            <w:tcW w:type="dxa" w:w="2340"/>
          </w:tcPr>
          <w:p>
            <w:r/>
            <w:r>
              <w:rPr>
                <w:sz w:val="20"/>
              </w:rPr>
              <w:t>Not specified</w:t>
            </w:r>
          </w:p>
        </w:tc>
        <w:tc>
          <w:tcPr>
            <w:tcW w:type="dxa" w:w="2340"/>
          </w:tcPr>
          <w:p>
            <w:r/>
            <w:r>
              <w:rPr>
                <w:sz w:val="20"/>
              </w:rPr>
              <w:t>Not specified</w:t>
            </w:r>
          </w:p>
        </w:tc>
      </w:tr>
    </w:tbl>
    <w:p/>
    <w:p>
      <w:pPr>
        <w:pStyle w:val="Heading1"/>
      </w:pPr>
      <w:r>
        <w:t>5. Hazard Trees</w:t>
      </w:r>
    </w:p>
    <w:p>
      <w:r>
        <w:t>A hazard tree is a dead, dying, leaning, cracked or otherwise defective tree, inside or outside the trim zone, that could strike a conductor if it or part of it fails. Crews record hazard trees in the mobile vegetation application with a photo and a risk score from 1 (low) to 5 (imminent).</w:t>
      </w:r>
    </w:p>
    <w:p>
      <w:pPr>
        <w:pStyle w:val="ListBullet"/>
      </w:pPr>
      <w:r>
        <w:t>Risk score 5: removed or made safe within 48 hours; the DSO is notified immediately.</w:t>
      </w:r>
    </w:p>
    <w:p>
      <w:pPr>
        <w:pStyle w:val="ListBullet"/>
      </w:pPr>
      <w:r>
        <w:t>Risk score 4: removed within 30 calendar days.</w:t>
      </w:r>
    </w:p>
    <w:p>
      <w:pPr>
        <w:pStyle w:val="ListBullet"/>
      </w:pPr>
      <w:r>
        <w:t>Risk score 3 or lower: scheduled with the next cycle trim.</w:t>
      </w:r>
    </w:p>
    <w:p>
      <w:pPr>
        <w:pStyle w:val="ListBullet"/>
      </w:pPr>
      <w:r>
        <w:t>Ash trees killed by emerald ash borer within striking distance of three phase lines are treated as risk score 4.</w:t>
      </w:r>
    </w:p>
    <w:p>
      <w:pPr>
        <w:pStyle w:val="Heading1"/>
      </w:pPr>
      <w:r>
        <w:t>6. Customer and Landowner Notification</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20"/>
              </w:rPr>
              <w:t>Jurisdiction</w:t>
            </w:r>
          </w:p>
        </w:tc>
        <w:tc>
          <w:tcPr>
            <w:tcW w:type="dxa" w:w="3120"/>
          </w:tcPr>
          <w:p>
            <w:r/>
            <w:r>
              <w:rPr>
                <w:b/>
                <w:sz w:val="20"/>
              </w:rPr>
              <w:t>Notice before routine work</w:t>
            </w:r>
          </w:p>
        </w:tc>
        <w:tc>
          <w:tcPr>
            <w:tcW w:type="dxa" w:w="3120"/>
          </w:tcPr>
          <w:p>
            <w:r/>
            <w:r>
              <w:rPr>
                <w:b/>
                <w:sz w:val="20"/>
              </w:rPr>
              <w:t>Method</w:t>
            </w:r>
          </w:p>
        </w:tc>
      </w:tr>
      <w:tr>
        <w:tc>
          <w:tcPr>
            <w:tcW w:type="dxa" w:w="3120"/>
          </w:tcPr>
          <w:p>
            <w:r/>
            <w:r>
              <w:rPr>
                <w:sz w:val="20"/>
              </w:rPr>
              <w:t>Ontario</w:t>
            </w:r>
          </w:p>
        </w:tc>
        <w:tc>
          <w:tcPr>
            <w:tcW w:type="dxa" w:w="3120"/>
          </w:tcPr>
          <w:p>
            <w:r/>
            <w:r>
              <w:rPr>
                <w:sz w:val="20"/>
              </w:rPr>
              <w:t>At least 14 calendar days</w:t>
            </w:r>
          </w:p>
        </w:tc>
        <w:tc>
          <w:tcPr>
            <w:tcW w:type="dxa" w:w="3120"/>
          </w:tcPr>
          <w:p>
            <w:r/>
            <w:r>
              <w:rPr>
                <w:sz w:val="20"/>
              </w:rPr>
              <w:t>Door hanger and letter</w:t>
            </w:r>
          </w:p>
        </w:tc>
      </w:tr>
      <w:tr>
        <w:tc>
          <w:tcPr>
            <w:tcW w:type="dxa" w:w="3120"/>
          </w:tcPr>
          <w:p>
            <w:r/>
            <w:r>
              <w:rPr>
                <w:sz w:val="20"/>
              </w:rPr>
              <w:t>New York</w:t>
            </w:r>
          </w:p>
        </w:tc>
        <w:tc>
          <w:tcPr>
            <w:tcW w:type="dxa" w:w="3120"/>
          </w:tcPr>
          <w:p>
            <w:r/>
            <w:r>
              <w:rPr>
                <w:sz w:val="20"/>
              </w:rPr>
              <w:t>At least 10 calendar days</w:t>
            </w:r>
          </w:p>
        </w:tc>
        <w:tc>
          <w:tcPr>
            <w:tcW w:type="dxa" w:w="3120"/>
          </w:tcPr>
          <w:p>
            <w:r/>
            <w:r>
              <w:rPr>
                <w:sz w:val="20"/>
              </w:rPr>
              <w:t>Door hanger; letter to absentee owners</w:t>
            </w:r>
          </w:p>
        </w:tc>
      </w:tr>
      <w:tr>
        <w:tc>
          <w:tcPr>
            <w:tcW w:type="dxa" w:w="3120"/>
          </w:tcPr>
          <w:p>
            <w:r/>
            <w:r>
              <w:rPr>
                <w:sz w:val="20"/>
              </w:rPr>
              <w:t>Ohio</w:t>
            </w:r>
          </w:p>
        </w:tc>
        <w:tc>
          <w:tcPr>
            <w:tcW w:type="dxa" w:w="3120"/>
          </w:tcPr>
          <w:p>
            <w:r/>
            <w:r>
              <w:rPr>
                <w:sz w:val="20"/>
              </w:rPr>
              <w:t>At least 7 calendar days</w:t>
            </w:r>
          </w:p>
        </w:tc>
        <w:tc>
          <w:tcPr>
            <w:tcW w:type="dxa" w:w="3120"/>
          </w:tcPr>
          <w:p>
            <w:r/>
            <w:r>
              <w:rPr>
                <w:sz w:val="20"/>
              </w:rPr>
              <w:t>Door hanger and phone call</w:t>
            </w:r>
          </w:p>
        </w:tc>
      </w:tr>
    </w:tbl>
    <w:p/>
    <w:p>
      <w:r>
        <w:t>No advance notice is required for emergency work to remove an immediate hazard or restore service. Landowners who refuse access are referred to the Forestry Supervisor, who documents the refusal and any resulting reliability risk.</w:t>
      </w:r>
    </w:p>
    <w:p>
      <w:pPr>
        <w:pStyle w:val="Heading1"/>
      </w:pPr>
      <w:r>
        <w:t>7. Work Methods</w:t>
      </w:r>
    </w:p>
    <w:p>
      <w:pPr>
        <w:pStyle w:val="ListBullet"/>
      </w:pPr>
      <w:r>
        <w:t>Directional pruning to the branch collar following ANSI A300 practices; no topping or rounding over.</w:t>
      </w:r>
    </w:p>
    <w:p>
      <w:pPr>
        <w:pStyle w:val="ListBullet"/>
      </w:pPr>
      <w:r>
        <w:t>Herbicide use on rights of way only by licensed applicators and only with products approved by the applicable provincial or state authority.</w:t>
      </w:r>
    </w:p>
    <w:p>
      <w:pPr>
        <w:pStyle w:val="ListBullet"/>
      </w:pPr>
      <w:r>
        <w:t>Only line clearance qualified arborists work within 3.0 m (10 ft) of energized distribution conductors.</w:t>
      </w:r>
    </w:p>
    <w:p>
      <w:pPr>
        <w:pStyle w:val="ListBullet"/>
      </w:pPr>
      <w:r>
        <w:t>Wood chips are left on site only with the owner's consent.</w:t>
      </w:r>
    </w:p>
    <w:p>
      <w:pPr>
        <w:pStyle w:val="Heading1"/>
      </w:pPr>
      <w:r>
        <w:t>8. Performance Measures</w:t>
      </w:r>
    </w:p>
    <w:tbl>
      <w:tblPr>
        <w:tblStyle w:val="TableGrid"/>
        <w:tblW w:type="auto" w:w="0"/>
        <w:tblLook w:firstColumn="1" w:firstRow="1" w:lastColumn="0" w:lastRow="0" w:noHBand="0" w:noVBand="1" w:val="04A0"/>
      </w:tblPr>
      <w:tblGrid>
        <w:gridCol w:w="4680"/>
        <w:gridCol w:w="4680"/>
      </w:tblGrid>
      <w:tr>
        <w:tc>
          <w:tcPr>
            <w:tcW w:type="dxa" w:w="4680"/>
          </w:tcPr>
          <w:p>
            <w:r/>
            <w:r>
              <w:rPr>
                <w:b/>
                <w:sz w:val="20"/>
              </w:rPr>
              <w:t>Measure</w:t>
            </w:r>
          </w:p>
        </w:tc>
        <w:tc>
          <w:tcPr>
            <w:tcW w:type="dxa" w:w="4680"/>
          </w:tcPr>
          <w:p>
            <w:r/>
            <w:r>
              <w:rPr>
                <w:b/>
                <w:sz w:val="20"/>
              </w:rPr>
              <w:t>2026 target</w:t>
            </w:r>
          </w:p>
        </w:tc>
      </w:tr>
      <w:tr>
        <w:tc>
          <w:tcPr>
            <w:tcW w:type="dxa" w:w="4680"/>
          </w:tcPr>
          <w:p>
            <w:r/>
            <w:r>
              <w:rPr>
                <w:sz w:val="20"/>
              </w:rPr>
              <w:t>Tree caused customer interruptions per 100 km of overhead line</w:t>
            </w:r>
          </w:p>
        </w:tc>
        <w:tc>
          <w:tcPr>
            <w:tcW w:type="dxa" w:w="4680"/>
          </w:tcPr>
          <w:p>
            <w:r/>
            <w:r>
              <w:rPr>
                <w:sz w:val="20"/>
              </w:rPr>
              <w:t>18 or fewer</w:t>
            </w:r>
          </w:p>
        </w:tc>
      </w:tr>
      <w:tr>
        <w:tc>
          <w:tcPr>
            <w:tcW w:type="dxa" w:w="4680"/>
          </w:tcPr>
          <w:p>
            <w:r/>
            <w:r>
              <w:rPr>
                <w:sz w:val="20"/>
              </w:rPr>
              <w:t>Planned trim kilometres completed</w:t>
            </w:r>
          </w:p>
        </w:tc>
        <w:tc>
          <w:tcPr>
            <w:tcW w:type="dxa" w:w="4680"/>
          </w:tcPr>
          <w:p>
            <w:r/>
            <w:r>
              <w:rPr>
                <w:sz w:val="20"/>
              </w:rPr>
              <w:t>Ontario 4,200 km; New York 1,150 km; Ohio 980 km</w:t>
            </w:r>
          </w:p>
        </w:tc>
      </w:tr>
      <w:tr>
        <w:tc>
          <w:tcPr>
            <w:tcW w:type="dxa" w:w="4680"/>
          </w:tcPr>
          <w:p>
            <w:r/>
            <w:r>
              <w:rPr>
                <w:sz w:val="20"/>
              </w:rPr>
              <w:t>Risk score 5 hazard trees made safe within 48 hours</w:t>
            </w:r>
          </w:p>
        </w:tc>
        <w:tc>
          <w:tcPr>
            <w:tcW w:type="dxa" w:w="4680"/>
          </w:tcPr>
          <w:p>
            <w:r/>
            <w:r>
              <w:rPr>
                <w:sz w:val="20"/>
              </w:rPr>
              <w:t>100 percent</w:t>
            </w:r>
          </w:p>
        </w:tc>
      </w:tr>
    </w:tbl>
    <w:p/>
    <w:p>
      <w:pPr>
        <w:pStyle w:val="Heading1"/>
      </w:pPr>
      <w:r>
        <w:t>Revision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r>
              <w:rPr>
                <w:b/>
                <w:sz w:val="20"/>
              </w:rPr>
              <w:t>Revision</w:t>
            </w:r>
          </w:p>
        </w:tc>
        <w:tc>
          <w:tcPr>
            <w:tcW w:type="dxa" w:w="1584"/>
          </w:tcPr>
          <w:p>
            <w:r/>
            <w:r>
              <w:rPr>
                <w:b/>
                <w:sz w:val="20"/>
              </w:rPr>
              <w:t>Date</w:t>
            </w:r>
          </w:p>
        </w:tc>
        <w:tc>
          <w:tcPr>
            <w:tcW w:type="dxa" w:w="2304"/>
          </w:tcPr>
          <w:p>
            <w:r/>
            <w:r>
              <w:rPr>
                <w:b/>
                <w:sz w:val="20"/>
              </w:rPr>
              <w:t>Author</w:t>
            </w:r>
          </w:p>
        </w:tc>
        <w:tc>
          <w:tcPr>
            <w:tcW w:type="dxa" w:w="4320"/>
          </w:tcPr>
          <w:p>
            <w:r/>
            <w:r>
              <w:rPr>
                <w:b/>
                <w:sz w:val="20"/>
              </w:rPr>
              <w:t>Summary of changes</w:t>
            </w:r>
          </w:p>
        </w:tc>
      </w:tr>
      <w:tr>
        <w:tc>
          <w:tcPr>
            <w:tcW w:type="dxa" w:w="1152"/>
          </w:tcPr>
          <w:p>
            <w:r/>
            <w:r>
              <w:rPr>
                <w:sz w:val="20"/>
              </w:rPr>
              <w:t>5</w:t>
            </w:r>
          </w:p>
        </w:tc>
        <w:tc>
          <w:tcPr>
            <w:tcW w:type="dxa" w:w="1584"/>
          </w:tcPr>
          <w:p>
            <w:r/>
            <w:r>
              <w:rPr>
                <w:sz w:val="20"/>
              </w:rPr>
              <w:t>2024-03-15</w:t>
            </w:r>
          </w:p>
        </w:tc>
        <w:tc>
          <w:tcPr>
            <w:tcW w:type="dxa" w:w="2304"/>
          </w:tcPr>
          <w:p>
            <w:r/>
            <w:r>
              <w:rPr>
                <w:sz w:val="20"/>
              </w:rPr>
              <w:t>C. Yarrow</w:t>
            </w:r>
          </w:p>
        </w:tc>
        <w:tc>
          <w:tcPr>
            <w:tcW w:type="dxa" w:w="4320"/>
          </w:tcPr>
          <w:p>
            <w:r/>
            <w:r>
              <w:rPr>
                <w:sz w:val="20"/>
              </w:rPr>
              <w:t>Added emerald ash borer guidance.</w:t>
            </w:r>
          </w:p>
        </w:tc>
      </w:tr>
      <w:tr>
        <w:tc>
          <w:tcPr>
            <w:tcW w:type="dxa" w:w="1152"/>
          </w:tcPr>
          <w:p>
            <w:r/>
            <w:r>
              <w:rPr>
                <w:sz w:val="20"/>
              </w:rPr>
              <w:t>6</w:t>
            </w:r>
          </w:p>
        </w:tc>
        <w:tc>
          <w:tcPr>
            <w:tcW w:type="dxa" w:w="1584"/>
          </w:tcPr>
          <w:p>
            <w:r/>
            <w:r>
              <w:rPr>
                <w:sz w:val="20"/>
              </w:rPr>
              <w:t>2026-04-01</w:t>
            </w:r>
          </w:p>
        </w:tc>
        <w:tc>
          <w:tcPr>
            <w:tcW w:type="dxa" w:w="2304"/>
          </w:tcPr>
          <w:p>
            <w:r/>
            <w:r>
              <w:rPr>
                <w:sz w:val="20"/>
              </w:rPr>
              <w:t>C. Yarrow</w:t>
            </w:r>
          </w:p>
        </w:tc>
        <w:tc>
          <w:tcPr>
            <w:tcW w:type="dxa" w:w="4320"/>
          </w:tcPr>
          <w:p>
            <w:r/>
            <w:r>
              <w:rPr>
                <w:sz w:val="20"/>
              </w:rPr>
              <w:t>Rural lateral cycle extended from 5 to 6 years; updated 2026 targets.</w:t>
            </w:r>
          </w:p>
        </w:tc>
      </w:tr>
    </w:tbl>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Controlled document. Printed copies are uncontrolled. Verify the current revision on the Harbourline-Operations site.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Harbourline Energy Co.  |  OPS-PRO-009  |  Vegetation Management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Vegetation Management Procedure</dc:title>
  <dc:subject>OPS-PRO-009</dc:subject>
  <dc:creator>Harbourline Energy Co.</dc:creator>
  <cp:keywords/>
  <dc:description>generated by python-docx</dc:description>
  <cp:lastModifiedBy>Harbourline Energy Co.</cp:lastModifiedBy>
  <cp:revision>1</cp:revision>
  <dcterms:created xsi:type="dcterms:W3CDTF">2026-09-15T09:00:00Z</dcterms:created>
  <dcterms:modified xsi:type="dcterms:W3CDTF">2026-09-15T09:00:00Z</dcterms:modified>
  <cp:category/>
</cp:coreProperties>
</file>