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Capital Project Approval Procedure</w:t>
      </w:r>
    </w:p>
    <w:p>
      <w:r>
        <w:rPr>
          <w:i/>
          <w:color w:val="404040"/>
        </w:rPr>
        <w:t>Stage-gate process for approving and governing capital projects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Value</w:t>
            </w:r>
          </w:p>
        </w:tc>
      </w:tr>
      <w:tr>
        <w:tc>
          <w:tcPr>
            <w:tcW w:type="dxa" w:w="4320"/>
          </w:tcPr>
          <w:p>
            <w:r>
              <w:t>Document ID</w:t>
            </w:r>
          </w:p>
        </w:tc>
        <w:tc>
          <w:tcPr>
            <w:tcW w:type="dxa" w:w="4320"/>
          </w:tcPr>
          <w:p>
            <w:r>
              <w:t>HLE-FIN-104</w:t>
            </w:r>
          </w:p>
        </w:tc>
      </w:tr>
      <w:tr>
        <w:tc>
          <w:tcPr>
            <w:tcW w:type="dxa" w:w="4320"/>
          </w:tcPr>
          <w:p>
            <w:r>
              <w:t>Owner</w:t>
            </w:r>
          </w:p>
        </w:tc>
        <w:tc>
          <w:tcPr>
            <w:tcW w:type="dxa" w:w="4320"/>
          </w:tcPr>
          <w:p>
            <w:r>
              <w:t>Finance, Capital Planning and Investment</w:t>
            </w:r>
          </w:p>
        </w:tc>
      </w:tr>
      <w:tr>
        <w:tc>
          <w:tcPr>
            <w:tcW w:type="dxa" w:w="4320"/>
          </w:tcPr>
          <w:p>
            <w:r>
              <w:t>Effective date</w:t>
            </w:r>
          </w:p>
        </w:tc>
        <w:tc>
          <w:tcPr>
            <w:tcW w:type="dxa" w:w="4320"/>
          </w:tcPr>
          <w:p>
            <w:r>
              <w:t>2025-02-01</w:t>
            </w:r>
          </w:p>
        </w:tc>
      </w:tr>
      <w:tr>
        <w:tc>
          <w:tcPr>
            <w:tcW w:type="dxa" w:w="4320"/>
          </w:tcPr>
          <w:p>
            <w:r>
              <w:t>Version</w:t>
            </w:r>
          </w:p>
        </w:tc>
        <w:tc>
          <w:tcPr>
            <w:tcW w:type="dxa" w:w="4320"/>
          </w:tcPr>
          <w:p>
            <w:r>
              <w:t>4.0</w:t>
            </w:r>
          </w:p>
        </w:tc>
      </w:tr>
      <w:tr>
        <w:tc>
          <w:tcPr>
            <w:tcW w:type="dxa" w:w="4320"/>
          </w:tcPr>
          <w:p>
            <w:r>
              <w:t>Applies to</w:t>
            </w:r>
          </w:p>
        </w:tc>
        <w:tc>
          <w:tcPr>
            <w:tcW w:type="dxa" w:w="4320"/>
          </w:tcPr>
          <w:p>
            <w:r>
              <w:t>All Harbourline Energy Co. employees unless stated otherwise</w:t>
            </w:r>
          </w:p>
        </w:tc>
      </w:tr>
    </w:tbl>
    <w:p/>
    <w:p>
      <w:pPr>
        <w:pStyle w:val="Heading1"/>
      </w:pPr>
      <w:r>
        <w:t>1. Purpose and scope</w:t>
      </w:r>
    </w:p>
    <w:p>
      <w:r>
        <w:t>This procedure governs how capital projects are proposed, justified, approved and closed at Harbourline Energy Co. It applies to every project that creates or extends the life of a long-lived asset with a total cost of CAD 50,000 or more (USD 50,000 or more for US operations). Smaller items are expensed or handled as minor capital by the business unit.</w:t>
      </w:r>
    </w:p>
    <w:p>
      <w:pPr>
        <w:pStyle w:val="Heading1"/>
      </w:pPr>
      <w:r>
        <w:t>2. Governance</w:t>
      </w:r>
    </w:p>
    <w:p>
      <w:r>
        <w:t>The Capital Investment Committee (CIC) reviews capital projects. The CIC is chaired by the CFO and includes the COO, the VP Regulatory Affairs, the VP Asset Management and the Director of Capital Planning. The CIC meets monthly on the second Tuesday.</w:t>
      </w:r>
    </w:p>
    <w:p>
      <w:r>
        <w:t>Approval authority by project value follows the Capital project row of the Approval Matrix.</w:t>
      </w:r>
    </w:p>
    <w:p>
      <w:pPr>
        <w:pStyle w:val="Heading1"/>
      </w:pPr>
      <w:r>
        <w:t>3. Stage gates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Gate</w:t>
            </w:r>
          </w:p>
        </w:tc>
        <w:tc>
          <w:tcPr>
            <w:tcW w:type="dxa" w:w="1728"/>
          </w:tcPr>
          <w:p>
            <w:r/>
            <w:r>
              <w:rPr>
                <w:b/>
              </w:rPr>
              <w:t>Name</w:t>
            </w:r>
          </w:p>
        </w:tc>
        <w:tc>
          <w:tcPr>
            <w:tcW w:type="dxa" w:w="1728"/>
          </w:tcPr>
          <w:p>
            <w:r/>
            <w:r>
              <w:rPr>
                <w:b/>
              </w:rPr>
              <w:t>Purpose</w:t>
            </w:r>
          </w:p>
        </w:tc>
        <w:tc>
          <w:tcPr>
            <w:tcW w:type="dxa" w:w="1728"/>
          </w:tcPr>
          <w:p>
            <w:r/>
            <w:r>
              <w:rPr>
                <w:b/>
              </w:rPr>
              <w:t>Decision by</w:t>
            </w:r>
          </w:p>
        </w:tc>
        <w:tc>
          <w:tcPr>
            <w:tcW w:type="dxa" w:w="1728"/>
          </w:tcPr>
          <w:p>
            <w:r/>
            <w:r>
              <w:rPr>
                <w:b/>
              </w:rPr>
              <w:t>Funding released</w:t>
            </w:r>
          </w:p>
        </w:tc>
      </w:tr>
      <w:tr>
        <w:tc>
          <w:tcPr>
            <w:tcW w:type="dxa" w:w="1728"/>
          </w:tcPr>
          <w:p>
            <w:r>
              <w:t>G0</w:t>
            </w:r>
          </w:p>
        </w:tc>
        <w:tc>
          <w:tcPr>
            <w:tcW w:type="dxa" w:w="1728"/>
          </w:tcPr>
          <w:p>
            <w:r>
              <w:t>Idea</w:t>
            </w:r>
          </w:p>
        </w:tc>
        <w:tc>
          <w:tcPr>
            <w:tcW w:type="dxa" w:w="1728"/>
          </w:tcPr>
          <w:p>
            <w:r>
              <w:t>Record the need and confirm strategic fit</w:t>
            </w:r>
          </w:p>
        </w:tc>
        <w:tc>
          <w:tcPr>
            <w:tcW w:type="dxa" w:w="1728"/>
          </w:tcPr>
          <w:p>
            <w:r>
              <w:t>Director</w:t>
            </w:r>
          </w:p>
        </w:tc>
        <w:tc>
          <w:tcPr>
            <w:tcW w:type="dxa" w:w="1728"/>
          </w:tcPr>
          <w:p>
            <w:r>
              <w:t>None</w:t>
            </w:r>
          </w:p>
        </w:tc>
      </w:tr>
      <w:tr>
        <w:tc>
          <w:tcPr>
            <w:tcW w:type="dxa" w:w="1728"/>
          </w:tcPr>
          <w:p>
            <w:r>
              <w:t>G1</w:t>
            </w:r>
          </w:p>
        </w:tc>
        <w:tc>
          <w:tcPr>
            <w:tcW w:type="dxa" w:w="1728"/>
          </w:tcPr>
          <w:p>
            <w:r>
              <w:t>Concept</w:t>
            </w:r>
          </w:p>
        </w:tc>
        <w:tc>
          <w:tcPr>
            <w:tcW w:type="dxa" w:w="1728"/>
          </w:tcPr>
          <w:p>
            <w:r>
              <w:t>Compare options and prepare a Class 4 estimate</w:t>
            </w:r>
          </w:p>
        </w:tc>
        <w:tc>
          <w:tcPr>
            <w:tcW w:type="dxa" w:w="1728"/>
          </w:tcPr>
          <w:p>
            <w:r>
              <w:t>CIC</w:t>
            </w:r>
          </w:p>
        </w:tc>
        <w:tc>
          <w:tcPr>
            <w:tcW w:type="dxa" w:w="1728"/>
          </w:tcPr>
          <w:p>
            <w:r>
              <w:t>Up to 5 percent of estimate for studies</w:t>
            </w:r>
          </w:p>
        </w:tc>
      </w:tr>
      <w:tr>
        <w:tc>
          <w:tcPr>
            <w:tcW w:type="dxa" w:w="1728"/>
          </w:tcPr>
          <w:p>
            <w:r>
              <w:t>G2</w:t>
            </w:r>
          </w:p>
        </w:tc>
        <w:tc>
          <w:tcPr>
            <w:tcW w:type="dxa" w:w="1728"/>
          </w:tcPr>
          <w:p>
            <w:r>
              <w:t>Business case</w:t>
            </w:r>
          </w:p>
        </w:tc>
        <w:tc>
          <w:tcPr>
            <w:tcW w:type="dxa" w:w="1728"/>
          </w:tcPr>
          <w:p>
            <w:r>
              <w:t>Approve preferred option and Class 3 estimate</w:t>
            </w:r>
          </w:p>
        </w:tc>
        <w:tc>
          <w:tcPr>
            <w:tcW w:type="dxa" w:w="1728"/>
          </w:tcPr>
          <w:p>
            <w:r>
              <w:t>CIC, plus approver per Approval Matrix</w:t>
            </w:r>
          </w:p>
        </w:tc>
        <w:tc>
          <w:tcPr>
            <w:tcW w:type="dxa" w:w="1728"/>
          </w:tcPr>
          <w:p>
            <w:r>
              <w:t>Design and long-lead materials, up to 20 percent</w:t>
            </w:r>
          </w:p>
        </w:tc>
      </w:tr>
      <w:tr>
        <w:tc>
          <w:tcPr>
            <w:tcW w:type="dxa" w:w="1728"/>
          </w:tcPr>
          <w:p>
            <w:r>
              <w:t>G3</w:t>
            </w:r>
          </w:p>
        </w:tc>
        <w:tc>
          <w:tcPr>
            <w:tcW w:type="dxa" w:w="1728"/>
          </w:tcPr>
          <w:p>
            <w:r>
              <w:t>Execution approval</w:t>
            </w:r>
          </w:p>
        </w:tc>
        <w:tc>
          <w:tcPr>
            <w:tcW w:type="dxa" w:w="1728"/>
          </w:tcPr>
          <w:p>
            <w:r>
              <w:t>Confirm Class 2 estimate and schedule</w:t>
            </w:r>
          </w:p>
        </w:tc>
        <w:tc>
          <w:tcPr>
            <w:tcW w:type="dxa" w:w="1728"/>
          </w:tcPr>
          <w:p>
            <w:r>
              <w:t>Approver per Approval Matrix</w:t>
            </w:r>
          </w:p>
        </w:tc>
        <w:tc>
          <w:tcPr>
            <w:tcW w:type="dxa" w:w="1728"/>
          </w:tcPr>
          <w:p>
            <w:r>
              <w:t>Full budget</w:t>
            </w:r>
          </w:p>
        </w:tc>
      </w:tr>
      <w:tr>
        <w:tc>
          <w:tcPr>
            <w:tcW w:type="dxa" w:w="1728"/>
          </w:tcPr>
          <w:p>
            <w:r>
              <w:t>G4</w:t>
            </w:r>
          </w:p>
        </w:tc>
        <w:tc>
          <w:tcPr>
            <w:tcW w:type="dxa" w:w="1728"/>
          </w:tcPr>
          <w:p>
            <w:r>
              <w:t>Close-out</w:t>
            </w:r>
          </w:p>
        </w:tc>
        <w:tc>
          <w:tcPr>
            <w:tcW w:type="dxa" w:w="1728"/>
          </w:tcPr>
          <w:p>
            <w:r>
              <w:t>Confirm in-service, final cost and lessons learned</w:t>
            </w:r>
          </w:p>
        </w:tc>
        <w:tc>
          <w:tcPr>
            <w:tcW w:type="dxa" w:w="1728"/>
          </w:tcPr>
          <w:p>
            <w:r>
              <w:t>CIC</w:t>
            </w:r>
          </w:p>
        </w:tc>
        <w:tc>
          <w:tcPr>
            <w:tcW w:type="dxa" w:w="1728"/>
          </w:tcPr>
          <w:p>
            <w:r>
              <w:t>Not applicable</w:t>
            </w:r>
          </w:p>
        </w:tc>
      </w:tr>
    </w:tbl>
    <w:p/>
    <w:p>
      <w:r>
        <w:t>A project that exceeds its approved budget by more than 10 percent, or by more than CAD 500,000, whichever is lower, must return to the CIC for re-approval before further spending.</w:t>
      </w:r>
    </w:p>
    <w:p>
      <w:pPr>
        <w:pStyle w:val="Heading1"/>
      </w:pPr>
      <w:r>
        <w:t>4. Business case requirements</w:t>
      </w:r>
    </w:p>
    <w:p>
      <w:r>
        <w:t>Every G2 business case must include:</w:t>
      </w:r>
    </w:p>
    <w:p>
      <w:pPr>
        <w:pStyle w:val="ListBullet"/>
      </w:pPr>
      <w:r>
        <w:t>Problem statement, including asset condition data and reliability impact (SAIDI and SAIFI).</w:t>
      </w:r>
    </w:p>
    <w:p>
      <w:pPr>
        <w:pStyle w:val="ListBullet"/>
      </w:pPr>
      <w:r>
        <w:t>At least three options, including a do-nothing or deferral option.</w:t>
      </w:r>
    </w:p>
    <w:p>
      <w:pPr>
        <w:pStyle w:val="ListBullet"/>
      </w:pPr>
      <w:r>
        <w:t>Cost estimate with contingency: 20 percent at Class 4, 15 percent at Class 3 and 10 percent at Class 2.</w:t>
      </w:r>
    </w:p>
    <w:p>
      <w:pPr>
        <w:pStyle w:val="ListBullet"/>
      </w:pPr>
      <w:r>
        <w:t>Net present value using the corporate discount rate of 6.5 percent over the asset's useful life.</w:t>
      </w:r>
    </w:p>
    <w:p>
      <w:pPr>
        <w:pStyle w:val="ListBullet"/>
      </w:pPr>
      <w:r>
        <w:t>Risk assessment scored on the Harbourline 5 by 5 risk matrix.</w:t>
      </w:r>
    </w:p>
    <w:p>
      <w:pPr>
        <w:pStyle w:val="ListBullet"/>
      </w:pPr>
      <w:r>
        <w:t>Rate impact analysis prepared by Regulatory Affairs.</w:t>
      </w:r>
    </w:p>
    <w:p>
      <w:pPr>
        <w:pStyle w:val="ListBullet"/>
      </w:pPr>
      <w:r>
        <w:t>Resourcing plan, including internal crews and external vendors.</w:t>
      </w:r>
    </w:p>
    <w:p>
      <w:pPr>
        <w:pStyle w:val="ListBullet"/>
      </w:pPr>
      <w:r>
        <w:t>Environmental, Indigenous consultation and permitting requirements.</w:t>
      </w:r>
    </w:p>
    <w:p>
      <w:pPr>
        <w:pStyle w:val="Heading1"/>
      </w:pPr>
      <w:r>
        <w:t>5. Ontario Energy Board rate-base considerations</w:t>
      </w:r>
    </w:p>
    <w:p>
      <w:r>
        <w:t>Ontario capital spending is recovered from customers only when the Ontario Energy Board (OEB) accepts it into rate base. Project sponsors must therefore show that the investment is prudent and that the asset will be used and useful for customers.</w:t>
      </w:r>
    </w:p>
    <w:p>
      <w:pPr>
        <w:pStyle w:val="ListBullet"/>
      </w:pPr>
      <w:r>
        <w:t>Distribution System Plan alignment: Ontario projects must be included in, or reconciled to, the current five-year Distribution System Plan filed with the OEB.</w:t>
      </w:r>
    </w:p>
    <w:p>
      <w:pPr>
        <w:pStyle w:val="ListBullet"/>
      </w:pPr>
      <w:r>
        <w:t>Investment category: each project is classified as System Access, System Renewal, System Service or General Plant, as required for OEB filings.</w:t>
      </w:r>
    </w:p>
    <w:p>
      <w:pPr>
        <w:pStyle w:val="ListBullet"/>
      </w:pPr>
      <w:r>
        <w:t>Materiality: Ontario projects above CAD 1,000,000 require a project summary suitable for inclusion in a rate application.</w:t>
      </w:r>
    </w:p>
    <w:p>
      <w:pPr>
        <w:pStyle w:val="ListBullet"/>
      </w:pPr>
      <w:r>
        <w:t>Incremental capital: projects outside the approved plan may require an Incremental Capital Module request, which Regulatory Affairs must confirm before G2.</w:t>
      </w:r>
    </w:p>
    <w:p>
      <w:pPr>
        <w:pStyle w:val="ListBullet"/>
      </w:pPr>
      <w:r>
        <w:t>In-service timing: assets are added to rate base only when in service. Construction work in progress does not earn a return until then.</w:t>
      </w:r>
    </w:p>
    <w:p>
      <w:pPr>
        <w:pStyle w:val="ListBullet"/>
      </w:pPr>
      <w:r>
        <w:t>Records: keep all decisions, estimates and variance explanations for at least 7 years to support regulatory review.</w:t>
      </w:r>
    </w:p>
    <w:p>
      <w:r>
        <w:t>US projects follow the rate-case requirements of the New York or Ohio public service commission, and transmission projects follow FERC formula-rate requirements. Regulatory Affairs advises on these requirements at G1.</w:t>
      </w:r>
    </w:p>
    <w:p>
      <w:pPr>
        <w:pStyle w:val="Heading1"/>
      </w:pPr>
      <w:r>
        <w:t>6. Post-implementation review</w:t>
      </w:r>
    </w:p>
    <w:p>
      <w:r>
        <w:t>A post-implementation review is completed 12 months after the in-service date for every project above CAD 1,000,000. The review compares actual cost, schedule and benefits with the approved business case and is presented to the CIC.</w:t>
      </w:r>
    </w:p>
    <w:p>
      <w:pPr>
        <w:pStyle w:val="Heading1"/>
      </w:pPr>
      <w:r>
        <w:t>Revision history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Change</w:t>
            </w:r>
          </w:p>
        </w:tc>
      </w:tr>
      <w:tr>
        <w:tc>
          <w:tcPr>
            <w:tcW w:type="dxa" w:w="2160"/>
          </w:tcPr>
          <w:p>
            <w:r>
              <w:t>3.0</w:t>
            </w:r>
          </w:p>
        </w:tc>
        <w:tc>
          <w:tcPr>
            <w:tcW w:type="dxa" w:w="2160"/>
          </w:tcPr>
          <w:p>
            <w:r>
              <w:t>2023-05-01</w:t>
            </w:r>
          </w:p>
        </w:tc>
        <w:tc>
          <w:tcPr>
            <w:tcW w:type="dxa" w:w="2160"/>
          </w:tcPr>
          <w:p>
            <w:r>
              <w:t>Capital Planning</w:t>
            </w:r>
          </w:p>
        </w:tc>
        <w:tc>
          <w:tcPr>
            <w:tcW w:type="dxa" w:w="2160"/>
          </w:tcPr>
          <w:p>
            <w:r>
              <w:t>Introduced five-gate process.</w:t>
            </w:r>
          </w:p>
        </w:tc>
      </w:tr>
      <w:tr>
        <w:tc>
          <w:tcPr>
            <w:tcW w:type="dxa" w:w="2160"/>
          </w:tcPr>
          <w:p>
            <w:r>
              <w:t>4.0</w:t>
            </w:r>
          </w:p>
        </w:tc>
        <w:tc>
          <w:tcPr>
            <w:tcW w:type="dxa" w:w="2160"/>
          </w:tcPr>
          <w:p>
            <w:r>
              <w:t>2025-02-01</w:t>
            </w:r>
          </w:p>
        </w:tc>
        <w:tc>
          <w:tcPr>
            <w:tcW w:type="dxa" w:w="2160"/>
          </w:tcPr>
          <w:p>
            <w:r>
              <w:t>Capital Planning</w:t>
            </w:r>
          </w:p>
        </w:tc>
        <w:tc>
          <w:tcPr>
            <w:tcW w:type="dxa" w:w="2160"/>
          </w:tcPr>
          <w:p>
            <w:r>
              <w:t>Added OEB rate-base section and re-approval trigger.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Project Approval Procedure</dc:title>
  <dc:subject>Stage-gate process for approving and governing capital projects</dc:subject>
  <dc:creator>Finance, Capital Planning and Investment</dc:creator>
  <cp:keywords/>
  <dc:description>generated by python-docx</dc:description>
  <cp:lastModifiedBy>Finance, Capital Planning and Investment</cp:lastModifiedBy>
  <cp:revision>1</cp:revision>
  <dcterms:created xsi:type="dcterms:W3CDTF">2025-09-15T09:00:00Z</dcterms:created>
  <dcterms:modified xsi:type="dcterms:W3CDTF">2025-09-15T09:00:00Z</dcterms:modified>
  <cp:category/>
</cp:coreProperties>
</file>