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Remote and Hybrid Work Policy</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HR-POL-020</w:t>
            </w:r>
          </w:p>
        </w:tc>
      </w:tr>
      <w:tr>
        <w:tc>
          <w:tcPr>
            <w:tcW w:type="dxa" w:w="2835"/>
          </w:tcPr>
          <w:p>
            <w:r/>
            <w:r>
              <w:rPr>
                <w:sz w:val="19"/>
              </w:rPr>
              <w:t>Version</w:t>
            </w:r>
          </w:p>
        </w:tc>
        <w:tc>
          <w:tcPr>
            <w:tcW w:type="dxa" w:w="6520"/>
          </w:tcPr>
          <w:p>
            <w:r/>
            <w:r>
              <w:rPr>
                <w:sz w:val="19"/>
              </w:rPr>
              <w:t>2.0</w:t>
            </w:r>
          </w:p>
        </w:tc>
      </w:tr>
      <w:tr>
        <w:tc>
          <w:tcPr>
            <w:tcW w:type="dxa" w:w="2835"/>
          </w:tcPr>
          <w:p>
            <w:r/>
            <w:r>
              <w:rPr>
                <w:sz w:val="19"/>
              </w:rPr>
              <w:t>Effective date</w:t>
            </w:r>
          </w:p>
        </w:tc>
        <w:tc>
          <w:tcPr>
            <w:tcW w:type="dxa" w:w="6520"/>
          </w:tcPr>
          <w:p>
            <w:r/>
            <w:r>
              <w:rPr>
                <w:sz w:val="19"/>
              </w:rPr>
              <w:t>2024-09-01</w:t>
            </w:r>
          </w:p>
        </w:tc>
      </w:tr>
      <w:tr>
        <w:tc>
          <w:tcPr>
            <w:tcW w:type="dxa" w:w="2835"/>
          </w:tcPr>
          <w:p>
            <w:r/>
            <w:r>
              <w:rPr>
                <w:sz w:val="19"/>
              </w:rPr>
              <w:t>Policy owner</w:t>
            </w:r>
          </w:p>
        </w:tc>
        <w:tc>
          <w:tcPr>
            <w:tcW w:type="dxa" w:w="6520"/>
          </w:tcPr>
          <w:p>
            <w:r/>
            <w:r>
              <w:rPr>
                <w:sz w:val="19"/>
              </w:rPr>
              <w:t>Hamid Qureshi, Director, Employee Relations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Office-based employees in Canada and the United States</w:t>
            </w:r>
          </w:p>
        </w:tc>
      </w:tr>
      <w:tr>
        <w:tc>
          <w:tcPr>
            <w:tcW w:type="dxa" w:w="2835"/>
          </w:tcPr>
          <w:p>
            <w:r/>
            <w:r>
              <w:rPr>
                <w:sz w:val="19"/>
              </w:rPr>
              <w:t>Next scheduled review</w:t>
            </w:r>
          </w:p>
        </w:tc>
        <w:tc>
          <w:tcPr>
            <w:tcW w:type="dxa" w:w="6520"/>
          </w:tcPr>
          <w:p>
            <w:r/>
            <w:r>
              <w:rPr>
                <w:sz w:val="19"/>
              </w:rPr>
              <w:t>2026-08-31</w:t>
            </w:r>
          </w:p>
        </w:tc>
      </w:tr>
    </w:tbl>
    <w:p/>
    <w:p>
      <w:pPr>
        <w:pStyle w:val="Heading1"/>
      </w:pPr>
      <w:r>
        <w:t>1. Purpose</w:t>
      </w:r>
    </w:p>
    <w:p>
      <w:r>
        <w:t>This policy describes when Harbourline employees may work away from a Harbourline site, the expectations that apply while they do, and the support Harbourline provides for a safe and secure home workspace.</w:t>
      </w:r>
    </w:p>
    <w:p>
      <w:pPr>
        <w:pStyle w:val="Heading1"/>
      </w:pPr>
      <w:r>
        <w:t>2. Scope</w:t>
      </w:r>
    </w:p>
    <w:p>
      <w:r>
        <w:t>The policy applies to office-based roles at the Toronto head office, regional offices and the Albany and Columbus US offices. Field roles (line, substation, meter and vegetation crews), control-room operators and warehouse staff are not eligible for remote work because their duties require physical presence.</w:t>
      </w:r>
    </w:p>
    <w:p>
      <w:pPr>
        <w:pStyle w:val="Heading1"/>
      </w:pPr>
      <w:r>
        <w:t>3. Definitions</w:t>
      </w:r>
    </w:p>
    <w:tbl>
      <w:tblPr>
        <w:tblStyle w:val="TableGrid"/>
        <w:tblW w:type="auto" w:w="0"/>
        <w:tblLook w:firstColumn="1" w:firstRow="1" w:lastColumn="0" w:lastRow="0" w:noHBand="0" w:noVBand="1" w:val="04A0"/>
      </w:tblPr>
      <w:tblGrid>
        <w:gridCol w:w="4873"/>
        <w:gridCol w:w="4873"/>
      </w:tblGrid>
      <w:tr>
        <w:tc>
          <w:tcPr>
            <w:tcW w:type="dxa" w:w="2268"/>
          </w:tcPr>
          <w:p>
            <w:r/>
            <w:r>
              <w:rPr>
                <w:b/>
                <w:sz w:val="19"/>
              </w:rPr>
              <w:t>Term</w:t>
            </w:r>
          </w:p>
        </w:tc>
        <w:tc>
          <w:tcPr>
            <w:tcW w:type="dxa" w:w="7087"/>
          </w:tcPr>
          <w:p>
            <w:r/>
            <w:r>
              <w:rPr>
                <w:b/>
                <w:sz w:val="19"/>
              </w:rPr>
              <w:t>Meaning</w:t>
            </w:r>
          </w:p>
        </w:tc>
      </w:tr>
      <w:tr>
        <w:tc>
          <w:tcPr>
            <w:tcW w:type="dxa" w:w="2268"/>
          </w:tcPr>
          <w:p>
            <w:r/>
            <w:r>
              <w:rPr>
                <w:sz w:val="19"/>
              </w:rPr>
              <w:t>Hybrid role</w:t>
            </w:r>
          </w:p>
        </w:tc>
        <w:tc>
          <w:tcPr>
            <w:tcW w:type="dxa" w:w="7087"/>
          </w:tcPr>
          <w:p>
            <w:r/>
            <w:r>
              <w:rPr>
                <w:sz w:val="19"/>
              </w:rPr>
              <w:t>A role that works partly on site and partly remotely under an approved arrangement.</w:t>
            </w:r>
          </w:p>
        </w:tc>
      </w:tr>
      <w:tr>
        <w:tc>
          <w:tcPr>
            <w:tcW w:type="dxa" w:w="2268"/>
          </w:tcPr>
          <w:p>
            <w:r/>
            <w:r>
              <w:rPr>
                <w:sz w:val="19"/>
              </w:rPr>
              <w:t>Fully remote role</w:t>
            </w:r>
          </w:p>
        </w:tc>
        <w:tc>
          <w:tcPr>
            <w:tcW w:type="dxa" w:w="7087"/>
          </w:tcPr>
          <w:p>
            <w:r/>
            <w:r>
              <w:rPr>
                <w:sz w:val="19"/>
              </w:rPr>
              <w:t>A role approved by a Vice President to work remotely with no regular on-site days.</w:t>
            </w:r>
          </w:p>
        </w:tc>
      </w:tr>
      <w:tr>
        <w:tc>
          <w:tcPr>
            <w:tcW w:type="dxa" w:w="2268"/>
          </w:tcPr>
          <w:p>
            <w:r/>
            <w:r>
              <w:rPr>
                <w:sz w:val="19"/>
              </w:rPr>
              <w:t>Anchor days</w:t>
            </w:r>
          </w:p>
        </w:tc>
        <w:tc>
          <w:tcPr>
            <w:tcW w:type="dxa" w:w="7087"/>
          </w:tcPr>
          <w:p>
            <w:r/>
            <w:r>
              <w:rPr>
                <w:sz w:val="19"/>
              </w:rPr>
              <w:t>The on-site days set by each department so teams overlap in the office.</w:t>
            </w:r>
          </w:p>
        </w:tc>
      </w:tr>
      <w:tr>
        <w:tc>
          <w:tcPr>
            <w:tcW w:type="dxa" w:w="2268"/>
          </w:tcPr>
          <w:p>
            <w:r/>
            <w:r>
              <w:rPr>
                <w:sz w:val="19"/>
              </w:rPr>
              <w:t>Temporary remote work</w:t>
            </w:r>
          </w:p>
        </w:tc>
        <w:tc>
          <w:tcPr>
            <w:tcW w:type="dxa" w:w="7087"/>
          </w:tcPr>
          <w:p>
            <w:r/>
            <w:r>
              <w:rPr>
                <w:sz w:val="19"/>
              </w:rPr>
              <w:t>Remote work from a location other than the approved home address.</w:t>
            </w:r>
          </w:p>
        </w:tc>
      </w:tr>
    </w:tbl>
    <w:p/>
    <w:p>
      <w:pPr>
        <w:pStyle w:val="Heading1"/>
      </w:pPr>
      <w:r>
        <w:t>4. Policy Statements</w:t>
      </w:r>
    </w:p>
    <w:p>
      <w:pPr>
        <w:pStyle w:val="Heading2"/>
      </w:pPr>
      <w:r>
        <w:t>4.1 Hybrid arrangements</w:t>
      </w:r>
    </w:p>
    <w:p>
      <w:r>
        <w:t>Hybrid employees work on site a minimum of 3 days per week, including their department's anchor days. Arrangements are recorded in the HR self-service portal and reviewed each year during the performance cycle.</w:t>
      </w:r>
    </w:p>
    <w:p>
      <w:pPr>
        <w:pStyle w:val="Heading2"/>
      </w:pPr>
      <w:r>
        <w:t>4.2 Work location</w:t>
      </w:r>
    </w:p>
    <w:p>
      <w:r>
        <w:t>Employees must work from their approved home address within their province or state of employment. Temporary remote work from another province or state is limited to 20 working days per calendar year and requires manager and Human Resources approval in advance because of payroll tax and employment law implications. Remote work from outside Canada and the United States is not permitted.</w:t>
      </w:r>
    </w:p>
    <w:p>
      <w:pPr>
        <w:pStyle w:val="Heading2"/>
      </w:pPr>
      <w:r>
        <w:t>4.3 Equipment and allowances</w:t>
      </w:r>
    </w:p>
    <w:tbl>
      <w:tblPr>
        <w:tblStyle w:val="TableGrid"/>
        <w:tblW w:type="auto" w:w="0"/>
        <w:tblLook w:firstColumn="1" w:firstRow="1" w:lastColumn="0" w:lastRow="0" w:noHBand="0" w:noVBand="1" w:val="04A0"/>
      </w:tblPr>
      <w:tblGrid>
        <w:gridCol w:w="3249"/>
        <w:gridCol w:w="3249"/>
        <w:gridCol w:w="3249"/>
      </w:tblGrid>
      <w:tr>
        <w:tc>
          <w:tcPr>
            <w:tcW w:type="dxa" w:w="3402"/>
          </w:tcPr>
          <w:p>
            <w:r/>
            <w:r>
              <w:rPr>
                <w:b/>
                <w:sz w:val="19"/>
              </w:rPr>
              <w:t>Item</w:t>
            </w:r>
          </w:p>
        </w:tc>
        <w:tc>
          <w:tcPr>
            <w:tcW w:type="dxa" w:w="2835"/>
          </w:tcPr>
          <w:p>
            <w:r/>
            <w:r>
              <w:rPr>
                <w:b/>
                <w:sz w:val="19"/>
              </w:rPr>
              <w:t>Canada</w:t>
            </w:r>
          </w:p>
        </w:tc>
        <w:tc>
          <w:tcPr>
            <w:tcW w:type="dxa" w:w="3118"/>
          </w:tcPr>
          <w:p>
            <w:r/>
            <w:r>
              <w:rPr>
                <w:b/>
                <w:sz w:val="19"/>
              </w:rPr>
              <w:t>United States</w:t>
            </w:r>
          </w:p>
        </w:tc>
      </w:tr>
      <w:tr>
        <w:tc>
          <w:tcPr>
            <w:tcW w:type="dxa" w:w="3402"/>
          </w:tcPr>
          <w:p>
            <w:r/>
            <w:r>
              <w:rPr>
                <w:sz w:val="19"/>
              </w:rPr>
              <w:t>One-time home office stipend</w:t>
            </w:r>
          </w:p>
        </w:tc>
        <w:tc>
          <w:tcPr>
            <w:tcW w:type="dxa" w:w="2835"/>
          </w:tcPr>
          <w:p>
            <w:r/>
            <w:r>
              <w:rPr>
                <w:sz w:val="19"/>
              </w:rPr>
              <w:t>CAD 500</w:t>
            </w:r>
          </w:p>
        </w:tc>
        <w:tc>
          <w:tcPr>
            <w:tcW w:type="dxa" w:w="3118"/>
          </w:tcPr>
          <w:p>
            <w:r/>
            <w:r>
              <w:rPr>
                <w:sz w:val="19"/>
              </w:rPr>
              <w:t>USD 400</w:t>
            </w:r>
          </w:p>
        </w:tc>
      </w:tr>
      <w:tr>
        <w:tc>
          <w:tcPr>
            <w:tcW w:type="dxa" w:w="3402"/>
          </w:tcPr>
          <w:p>
            <w:r/>
            <w:r>
              <w:rPr>
                <w:sz w:val="19"/>
              </w:rPr>
              <w:t>Monthly internet allowance</w:t>
            </w:r>
          </w:p>
        </w:tc>
        <w:tc>
          <w:tcPr>
            <w:tcW w:type="dxa" w:w="2835"/>
          </w:tcPr>
          <w:p>
            <w:r/>
            <w:r>
              <w:rPr>
                <w:sz w:val="19"/>
              </w:rPr>
              <w:t>CAD 40</w:t>
            </w:r>
          </w:p>
        </w:tc>
        <w:tc>
          <w:tcPr>
            <w:tcW w:type="dxa" w:w="3118"/>
          </w:tcPr>
          <w:p>
            <w:r/>
            <w:r>
              <w:rPr>
                <w:sz w:val="19"/>
              </w:rPr>
              <w:t>USD 30</w:t>
            </w:r>
          </w:p>
        </w:tc>
      </w:tr>
      <w:tr>
        <w:tc>
          <w:tcPr>
            <w:tcW w:type="dxa" w:w="3402"/>
          </w:tcPr>
          <w:p>
            <w:r/>
            <w:r>
              <w:rPr>
                <w:sz w:val="19"/>
              </w:rPr>
              <w:t>Laptop, monitor, headset</w:t>
            </w:r>
          </w:p>
        </w:tc>
        <w:tc>
          <w:tcPr>
            <w:tcW w:type="dxa" w:w="2835"/>
          </w:tcPr>
          <w:p>
            <w:r/>
            <w:r>
              <w:rPr>
                <w:sz w:val="19"/>
              </w:rPr>
              <w:t>Provided by IT</w:t>
            </w:r>
          </w:p>
        </w:tc>
        <w:tc>
          <w:tcPr>
            <w:tcW w:type="dxa" w:w="3118"/>
          </w:tcPr>
          <w:p>
            <w:r/>
            <w:r>
              <w:rPr>
                <w:sz w:val="19"/>
              </w:rPr>
              <w:t>Provided by IT</w:t>
            </w:r>
          </w:p>
        </w:tc>
      </w:tr>
      <w:tr>
        <w:tc>
          <w:tcPr>
            <w:tcW w:type="dxa" w:w="3402"/>
          </w:tcPr>
          <w:p>
            <w:r/>
            <w:r>
              <w:rPr>
                <w:sz w:val="19"/>
              </w:rPr>
              <w:t>Ergonomic assessment</w:t>
            </w:r>
          </w:p>
        </w:tc>
        <w:tc>
          <w:tcPr>
            <w:tcW w:type="dxa" w:w="2835"/>
          </w:tcPr>
          <w:p>
            <w:r/>
            <w:r>
              <w:rPr>
                <w:sz w:val="19"/>
              </w:rPr>
              <w:t>On request, virtual</w:t>
            </w:r>
          </w:p>
        </w:tc>
        <w:tc>
          <w:tcPr>
            <w:tcW w:type="dxa" w:w="3118"/>
          </w:tcPr>
          <w:p>
            <w:r/>
            <w:r>
              <w:rPr>
                <w:sz w:val="19"/>
              </w:rPr>
              <w:t>On request, virtual</w:t>
            </w:r>
          </w:p>
        </w:tc>
      </w:tr>
    </w:tbl>
    <w:p/>
    <w:p>
      <w:pPr>
        <w:pStyle w:val="Heading2"/>
      </w:pPr>
      <w:r>
        <w:t>4.4 Information security</w:t>
      </w:r>
    </w:p>
    <w:p>
      <w:r>
        <w:t>Company devices must connect through the Harbourline VPN when accessing internal systems. Operational technology systems, including SCADA and energy management systems, may never be accessed remotely except through the approved privileged access workstation. Printed customer information must not be taken home.</w:t>
      </w:r>
    </w:p>
    <w:p>
      <w:pPr>
        <w:pStyle w:val="Heading2"/>
      </w:pPr>
      <w:r>
        <w:t>4.5 Health and safety</w:t>
      </w:r>
    </w:p>
    <w:p>
      <w:r>
        <w:t>Employees are responsible for keeping their home workspace free of hazards. Work-related injuries at the home workspace must be reported under the Safety Incident Reporting Standard (HS-POL-005).</w:t>
      </w:r>
    </w:p>
    <w:p>
      <w:pPr>
        <w:pStyle w:val="Heading1"/>
      </w:pPr>
      <w:r>
        <w:t>5. Procedures</w:t>
      </w:r>
    </w:p>
    <w:p>
      <w:pPr>
        <w:ind w:left="454"/>
      </w:pPr>
      <w:r>
        <w:t>a) Employee discusses the proposed arrangement with their manager.</w:t>
      </w:r>
    </w:p>
    <w:p>
      <w:pPr>
        <w:ind w:left="454"/>
      </w:pPr>
      <w:r>
        <w:t>b) Employee completes the Remote Work Agreement and Home Workspace Checklist in the HR self-service portal.</w:t>
      </w:r>
    </w:p>
    <w:p>
      <w:pPr>
        <w:ind w:left="454"/>
      </w:pPr>
      <w:r>
        <w:t>c) Manager approves; fully remote roles also need Vice President approval.</w:t>
      </w:r>
    </w:p>
    <w:p>
      <w:pPr>
        <w:ind w:left="454"/>
      </w:pPr>
      <w:r>
        <w:t>d) IT ships equipment within 10 business days of approval.</w:t>
      </w:r>
    </w:p>
    <w:p>
      <w:pPr>
        <w:ind w:left="454"/>
      </w:pPr>
      <w:r>
        <w:t>e) Either party may end a hybrid arrangement with 30 days notice.</w:t>
      </w:r>
    </w:p>
    <w:p>
      <w:pPr>
        <w:pStyle w:val="Heading1"/>
      </w:pPr>
      <w:r>
        <w:t>6. Roles and Responsibilities</w:t>
      </w:r>
    </w:p>
    <w:tbl>
      <w:tblPr>
        <w:tblStyle w:val="TableGrid"/>
        <w:tblW w:type="auto" w:w="0"/>
        <w:tblLook w:firstColumn="1" w:firstRow="1" w:lastColumn="0" w:lastRow="0" w:noHBand="0" w:noVBand="1" w:val="04A0"/>
      </w:tblPr>
      <w:tblGrid>
        <w:gridCol w:w="4873"/>
        <w:gridCol w:w="4873"/>
      </w:tblGrid>
      <w:tr>
        <w:tc>
          <w:tcPr>
            <w:tcW w:type="dxa" w:w="2268"/>
          </w:tcPr>
          <w:p>
            <w:r/>
            <w:r>
              <w:rPr>
                <w:b/>
                <w:sz w:val="19"/>
              </w:rPr>
              <w:t>Role</w:t>
            </w:r>
          </w:p>
        </w:tc>
        <w:tc>
          <w:tcPr>
            <w:tcW w:type="dxa" w:w="7087"/>
          </w:tcPr>
          <w:p>
            <w:r/>
            <w:r>
              <w:rPr>
                <w:b/>
                <w:sz w:val="19"/>
              </w:rPr>
              <w:t>Responsibility</w:t>
            </w:r>
          </w:p>
        </w:tc>
      </w:tr>
      <w:tr>
        <w:tc>
          <w:tcPr>
            <w:tcW w:type="dxa" w:w="2268"/>
          </w:tcPr>
          <w:p>
            <w:r/>
            <w:r>
              <w:rPr>
                <w:sz w:val="19"/>
              </w:rPr>
              <w:t>Employee</w:t>
            </w:r>
          </w:p>
        </w:tc>
        <w:tc>
          <w:tcPr>
            <w:tcW w:type="dxa" w:w="7087"/>
          </w:tcPr>
          <w:p>
            <w:r/>
            <w:r>
              <w:rPr>
                <w:sz w:val="19"/>
              </w:rPr>
              <w:t>Maintains a safe, secure workspace and is reachable during core hours of 10:00 to 15:00 local time.</w:t>
            </w:r>
          </w:p>
        </w:tc>
      </w:tr>
      <w:tr>
        <w:tc>
          <w:tcPr>
            <w:tcW w:type="dxa" w:w="2268"/>
          </w:tcPr>
          <w:p>
            <w:r/>
            <w:r>
              <w:rPr>
                <w:sz w:val="19"/>
              </w:rPr>
              <w:t>Manager</w:t>
            </w:r>
          </w:p>
        </w:tc>
        <w:tc>
          <w:tcPr>
            <w:tcW w:type="dxa" w:w="7087"/>
          </w:tcPr>
          <w:p>
            <w:r/>
            <w:r>
              <w:rPr>
                <w:sz w:val="19"/>
              </w:rPr>
              <w:t>Approves arrangements consistently and sets anchor days.</w:t>
            </w:r>
          </w:p>
        </w:tc>
      </w:tr>
      <w:tr>
        <w:tc>
          <w:tcPr>
            <w:tcW w:type="dxa" w:w="2268"/>
          </w:tcPr>
          <w:p>
            <w:r/>
            <w:r>
              <w:rPr>
                <w:sz w:val="19"/>
              </w:rPr>
              <w:t>Employee Relations</w:t>
            </w:r>
          </w:p>
        </w:tc>
        <w:tc>
          <w:tcPr>
            <w:tcW w:type="dxa" w:w="7087"/>
          </w:tcPr>
          <w:p>
            <w:r/>
            <w:r>
              <w:rPr>
                <w:sz w:val="19"/>
              </w:rPr>
              <w:t>Owns the policy and resolves disputes.</w:t>
            </w:r>
          </w:p>
        </w:tc>
      </w:tr>
      <w:tr>
        <w:tc>
          <w:tcPr>
            <w:tcW w:type="dxa" w:w="2268"/>
          </w:tcPr>
          <w:p>
            <w:r/>
            <w:r>
              <w:rPr>
                <w:sz w:val="19"/>
              </w:rPr>
              <w:t>IT Service Desk</w:t>
            </w:r>
          </w:p>
        </w:tc>
        <w:tc>
          <w:tcPr>
            <w:tcW w:type="dxa" w:w="7087"/>
          </w:tcPr>
          <w:p>
            <w:r/>
            <w:r>
              <w:rPr>
                <w:sz w:val="19"/>
              </w:rPr>
              <w:t>Supplies equipment and VPN access.</w:t>
            </w:r>
          </w:p>
        </w:tc>
      </w:tr>
    </w:tbl>
    <w:p/>
    <w:p>
      <w:pPr>
        <w:pStyle w:val="Heading1"/>
      </w:pPr>
      <w:r>
        <w:t>7. Related Documents</w:t>
      </w:r>
    </w:p>
    <w:p>
      <w:pPr>
        <w:pStyle w:val="ListBullet"/>
      </w:pPr>
      <w:r>
        <w:t>Code of Business Conduct (HR-POL-001)</w:t>
      </w:r>
    </w:p>
    <w:p>
      <w:pPr>
        <w:pStyle w:val="ListBullet"/>
      </w:pPr>
      <w:r>
        <w:t>Travel Policy (HR-POL-050)</w:t>
      </w:r>
    </w:p>
    <w:p>
      <w:pPr>
        <w:pStyle w:val="ListBullet"/>
      </w:pPr>
      <w:r>
        <w:t>Safety Incident Reporting Standard (HS-POL-005)</w:t>
      </w:r>
    </w:p>
    <w:p>
      <w:pPr>
        <w:pStyle w:val="ListBullet"/>
      </w:pPr>
      <w:r>
        <w:t>Acceptable Use of IT Standard (IT-STD-004)</w:t>
      </w:r>
    </w:p>
    <w:p>
      <w:pPr>
        <w:pStyle w:val="Heading1"/>
      </w:pPr>
      <w:r>
        <w:t>8.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1.0</w:t>
            </w:r>
          </w:p>
        </w:tc>
        <w:tc>
          <w:tcPr>
            <w:tcW w:type="dxa" w:w="1587"/>
          </w:tcPr>
          <w:p>
            <w:r/>
            <w:r>
              <w:rPr>
                <w:sz w:val="19"/>
              </w:rPr>
              <w:t>2020-06-01</w:t>
            </w:r>
          </w:p>
        </w:tc>
        <w:tc>
          <w:tcPr>
            <w:tcW w:type="dxa" w:w="2268"/>
          </w:tcPr>
          <w:p>
            <w:r/>
            <w:r>
              <w:rPr>
                <w:sz w:val="19"/>
              </w:rPr>
              <w:t>HR Policy Office</w:t>
            </w:r>
          </w:p>
        </w:tc>
        <w:tc>
          <w:tcPr>
            <w:tcW w:type="dxa" w:w="4365"/>
          </w:tcPr>
          <w:p>
            <w:r/>
            <w:r>
              <w:rPr>
                <w:sz w:val="19"/>
              </w:rPr>
              <w:t>Pandemic interim remote work guideline.</w:t>
            </w:r>
          </w:p>
        </w:tc>
      </w:tr>
      <w:tr>
        <w:tc>
          <w:tcPr>
            <w:tcW w:type="dxa" w:w="1134"/>
          </w:tcPr>
          <w:p>
            <w:r/>
            <w:r>
              <w:rPr>
                <w:sz w:val="19"/>
              </w:rPr>
              <w:t>1.1</w:t>
            </w:r>
          </w:p>
        </w:tc>
        <w:tc>
          <w:tcPr>
            <w:tcW w:type="dxa" w:w="1587"/>
          </w:tcPr>
          <w:p>
            <w:r/>
            <w:r>
              <w:rPr>
                <w:sz w:val="19"/>
              </w:rPr>
              <w:t>2022-03-01</w:t>
            </w:r>
          </w:p>
        </w:tc>
        <w:tc>
          <w:tcPr>
            <w:tcW w:type="dxa" w:w="2268"/>
          </w:tcPr>
          <w:p>
            <w:r/>
            <w:r>
              <w:rPr>
                <w:sz w:val="19"/>
              </w:rPr>
              <w:t>Hamid Qureshi</w:t>
            </w:r>
          </w:p>
        </w:tc>
        <w:tc>
          <w:tcPr>
            <w:tcW w:type="dxa" w:w="4365"/>
          </w:tcPr>
          <w:p>
            <w:r/>
            <w:r>
              <w:rPr>
                <w:sz w:val="19"/>
              </w:rPr>
              <w:t>Converted guideline to policy; added US allowances.</w:t>
            </w:r>
          </w:p>
        </w:tc>
      </w:tr>
      <w:tr>
        <w:tc>
          <w:tcPr>
            <w:tcW w:type="dxa" w:w="1134"/>
          </w:tcPr>
          <w:p>
            <w:r/>
            <w:r>
              <w:rPr>
                <w:sz w:val="19"/>
              </w:rPr>
              <w:t>2.0</w:t>
            </w:r>
          </w:p>
        </w:tc>
        <w:tc>
          <w:tcPr>
            <w:tcW w:type="dxa" w:w="1587"/>
          </w:tcPr>
          <w:p>
            <w:r/>
            <w:r>
              <w:rPr>
                <w:sz w:val="19"/>
              </w:rPr>
              <w:t>2024-09-01</w:t>
            </w:r>
          </w:p>
        </w:tc>
        <w:tc>
          <w:tcPr>
            <w:tcW w:type="dxa" w:w="2268"/>
          </w:tcPr>
          <w:p>
            <w:r/>
            <w:r>
              <w:rPr>
                <w:sz w:val="19"/>
              </w:rPr>
              <w:t>Hamid Qureshi</w:t>
            </w:r>
          </w:p>
        </w:tc>
        <w:tc>
          <w:tcPr>
            <w:tcW w:type="dxa" w:w="4365"/>
          </w:tcPr>
          <w:p>
            <w:r/>
            <w:r>
              <w:rPr>
                <w:sz w:val="19"/>
              </w:rPr>
              <w:t>Minimum on-site days raised from 2 to 3; 20-day limit for temporary remote work.</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HR-POL-020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Hybrid Work Policy</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