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0000"/>
          <w:sz w:val="28"/>
        </w:rPr>
        <w:t>RESTRICTED - HR Only</w:t>
      </w:r>
    </w:p>
    <w:p>
      <w:r>
        <w:rPr>
          <w:b/>
          <w:color w:val="1F3A5F"/>
        </w:rPr>
        <w:t>Harbourline Energy Co.</w:t>
      </w:r>
    </w:p>
    <w:p>
      <w:pPr>
        <w:pStyle w:val="Title"/>
      </w:pPr>
      <w:r>
        <w:t>Disciplinary Case Handling Procedure</w:t>
      </w:r>
    </w:p>
    <w:tbl>
      <w:tblPr>
        <w:tblStyle w:val="TableGrid"/>
        <w:tblW w:type="auto" w:w="0"/>
        <w:tblLook w:firstColumn="1" w:firstRow="1" w:lastColumn="0" w:lastRow="0" w:noHBand="0" w:noVBand="1" w:val="04A0"/>
      </w:tblPr>
      <w:tblGrid>
        <w:gridCol w:w="4873"/>
        <w:gridCol w:w="4873"/>
      </w:tblGrid>
      <w:tr>
        <w:tc>
          <w:tcPr>
            <w:tcW w:type="dxa" w:w="2835"/>
          </w:tcPr>
          <w:p>
            <w:r/>
            <w:r>
              <w:rPr>
                <w:b/>
                <w:sz w:val="19"/>
              </w:rPr>
              <w:t>Field</w:t>
            </w:r>
          </w:p>
        </w:tc>
        <w:tc>
          <w:tcPr>
            <w:tcW w:type="dxa" w:w="6520"/>
          </w:tcPr>
          <w:p>
            <w:r/>
            <w:r>
              <w:rPr>
                <w:b/>
                <w:sz w:val="19"/>
              </w:rPr>
              <w:t>Value</w:t>
            </w:r>
          </w:p>
        </w:tc>
      </w:tr>
      <w:tr>
        <w:tc>
          <w:tcPr>
            <w:tcW w:type="dxa" w:w="2835"/>
          </w:tcPr>
          <w:p>
            <w:r/>
            <w:r>
              <w:rPr>
                <w:sz w:val="19"/>
              </w:rPr>
              <w:t>Document ID</w:t>
            </w:r>
          </w:p>
        </w:tc>
        <w:tc>
          <w:tcPr>
            <w:tcW w:type="dxa" w:w="6520"/>
          </w:tcPr>
          <w:p>
            <w:r/>
            <w:r>
              <w:rPr>
                <w:sz w:val="19"/>
              </w:rPr>
              <w:t>HR-RST-101</w:t>
            </w:r>
          </w:p>
        </w:tc>
      </w:tr>
      <w:tr>
        <w:tc>
          <w:tcPr>
            <w:tcW w:type="dxa" w:w="2835"/>
          </w:tcPr>
          <w:p>
            <w:r/>
            <w:r>
              <w:rPr>
                <w:sz w:val="19"/>
              </w:rPr>
              <w:t>Version</w:t>
            </w:r>
          </w:p>
        </w:tc>
        <w:tc>
          <w:tcPr>
            <w:tcW w:type="dxa" w:w="6520"/>
          </w:tcPr>
          <w:p>
            <w:r/>
            <w:r>
              <w:rPr>
                <w:sz w:val="19"/>
              </w:rPr>
              <w:t>1.6</w:t>
            </w:r>
          </w:p>
        </w:tc>
      </w:tr>
      <w:tr>
        <w:tc>
          <w:tcPr>
            <w:tcW w:type="dxa" w:w="2835"/>
          </w:tcPr>
          <w:p>
            <w:r/>
            <w:r>
              <w:rPr>
                <w:sz w:val="19"/>
              </w:rPr>
              <w:t>Effective date</w:t>
            </w:r>
          </w:p>
        </w:tc>
        <w:tc>
          <w:tcPr>
            <w:tcW w:type="dxa" w:w="6520"/>
          </w:tcPr>
          <w:p>
            <w:r/>
            <w:r>
              <w:rPr>
                <w:sz w:val="19"/>
              </w:rPr>
              <w:t>2025-03-01</w:t>
            </w:r>
          </w:p>
        </w:tc>
      </w:tr>
      <w:tr>
        <w:tc>
          <w:tcPr>
            <w:tcW w:type="dxa" w:w="2835"/>
          </w:tcPr>
          <w:p>
            <w:r/>
            <w:r>
              <w:rPr>
                <w:sz w:val="19"/>
              </w:rPr>
              <w:t>Policy owner</w:t>
            </w:r>
          </w:p>
        </w:tc>
        <w:tc>
          <w:tcPr>
            <w:tcW w:type="dxa" w:w="6520"/>
          </w:tcPr>
          <w:p>
            <w:r/>
            <w:r>
              <w:rPr>
                <w:sz w:val="19"/>
              </w:rPr>
              <w:t>Hamid Qureshi, Director, Employee Relations</w:t>
            </w:r>
          </w:p>
        </w:tc>
      </w:tr>
      <w:tr>
        <w:tc>
          <w:tcPr>
            <w:tcW w:type="dxa" w:w="2835"/>
          </w:tcPr>
          <w:p>
            <w:r/>
            <w:r>
              <w:rPr>
                <w:sz w:val="19"/>
              </w:rPr>
              <w:t>Approved by</w:t>
            </w:r>
          </w:p>
        </w:tc>
        <w:tc>
          <w:tcPr>
            <w:tcW w:type="dxa" w:w="6520"/>
          </w:tcPr>
          <w:p>
            <w:r/>
            <w:r>
              <w:rPr>
                <w:sz w:val="19"/>
              </w:rPr>
              <w:t>Margaret Osei, Vice President, People and Culture</w:t>
            </w:r>
          </w:p>
        </w:tc>
      </w:tr>
      <w:tr>
        <w:tc>
          <w:tcPr>
            <w:tcW w:type="dxa" w:w="2835"/>
          </w:tcPr>
          <w:p>
            <w:r/>
            <w:r>
              <w:rPr>
                <w:sz w:val="19"/>
              </w:rPr>
              <w:t>Applies to</w:t>
            </w:r>
          </w:p>
        </w:tc>
        <w:tc>
          <w:tcPr>
            <w:tcW w:type="dxa" w:w="6520"/>
          </w:tcPr>
          <w:p>
            <w:r/>
            <w:r>
              <w:rPr>
                <w:sz w:val="19"/>
              </w:rPr>
              <w:t>Human Resources staff and people leaders handling discipline, with HR guidance</w:t>
            </w:r>
          </w:p>
        </w:tc>
      </w:tr>
      <w:tr>
        <w:tc>
          <w:tcPr>
            <w:tcW w:type="dxa" w:w="2835"/>
          </w:tcPr>
          <w:p>
            <w:r/>
            <w:r>
              <w:rPr>
                <w:sz w:val="19"/>
              </w:rPr>
              <w:t>Next scheduled review</w:t>
            </w:r>
          </w:p>
        </w:tc>
        <w:tc>
          <w:tcPr>
            <w:tcW w:type="dxa" w:w="6520"/>
          </w:tcPr>
          <w:p>
            <w:r/>
            <w:r>
              <w:rPr>
                <w:sz w:val="19"/>
              </w:rPr>
              <w:t>2026-02-28</w:t>
            </w:r>
          </w:p>
        </w:tc>
      </w:tr>
      <w:tr>
        <w:tc>
          <w:tcPr>
            <w:tcW w:type="dxa" w:w="2835"/>
          </w:tcPr>
          <w:p>
            <w:r/>
            <w:r>
              <w:rPr>
                <w:sz w:val="19"/>
              </w:rPr>
              <w:t>Classification</w:t>
            </w:r>
          </w:p>
        </w:tc>
        <w:tc>
          <w:tcPr>
            <w:tcW w:type="dxa" w:w="6520"/>
          </w:tcPr>
          <w:p>
            <w:r/>
            <w:r>
              <w:rPr>
                <w:sz w:val="19"/>
              </w:rPr>
              <w:t>Restricted, HR group only</w:t>
            </w:r>
          </w:p>
        </w:tc>
      </w:tr>
    </w:tbl>
    <w:p/>
    <w:p>
      <w:pPr>
        <w:pStyle w:val="Heading1"/>
      </w:pPr>
      <w:r>
        <w:t>1. Purpose</w:t>
      </w:r>
    </w:p>
    <w:p>
      <w:r>
        <w:t>This procedure tells HR staff how to open, manage, document and close disciplinary cases so that discipline is fair, consistent and defensible. It is an internal HR procedure and is not published to employees.</w:t>
      </w:r>
    </w:p>
    <w:p>
      <w:pPr>
        <w:pStyle w:val="Heading1"/>
      </w:pPr>
      <w:r>
        <w:t>2. Scope</w:t>
      </w:r>
    </w:p>
    <w:p>
      <w:r>
        <w:t>Applies to discipline of non-union employees. For union employees, HR follows the collective agreement and notifies the union steward before any disciplinary meeting.</w:t>
      </w:r>
    </w:p>
    <w:p>
      <w:pPr>
        <w:pStyle w:val="Heading1"/>
      </w:pPr>
      <w:r>
        <w:t>3. Case Management</w:t>
      </w:r>
    </w:p>
    <w:p>
      <w:r>
        <w:t>Every case is opened in the Employee Relations case system with a case number in the format DC-YYYY-NNN (for example, DC-2025-031). Case files are retained for 7 years after closure.</w:t>
      </w:r>
    </w:p>
    <w:p>
      <w:r>
        <w:t>Before any disciplinary meeting, the HR Business Partner confirms: the facts are documented, the employee has had a chance to respond, and prior comparable cases have been reviewed for consistency using the Consistency Log.</w:t>
      </w:r>
    </w:p>
    <w:p>
      <w:pPr>
        <w:pStyle w:val="Heading1"/>
      </w:pPr>
      <w:r>
        <w:t>4. Progressive Discipline and Retention</w:t>
      </w:r>
    </w:p>
    <w:tbl>
      <w:tblPr>
        <w:tblStyle w:val="TableGrid"/>
        <w:tblW w:type="auto" w:w="0"/>
        <w:tblLook w:firstColumn="1" w:firstRow="1" w:lastColumn="0" w:lastRow="0" w:noHBand="0" w:noVBand="1" w:val="04A0"/>
      </w:tblPr>
      <w:tblGrid>
        <w:gridCol w:w="3249"/>
        <w:gridCol w:w="3249"/>
        <w:gridCol w:w="3249"/>
      </w:tblGrid>
      <w:tr>
        <w:tc>
          <w:tcPr>
            <w:tcW w:type="dxa" w:w="2835"/>
          </w:tcPr>
          <w:p>
            <w:r/>
            <w:r>
              <w:rPr>
                <w:b/>
                <w:sz w:val="19"/>
              </w:rPr>
              <w:t>Level</w:t>
            </w:r>
          </w:p>
        </w:tc>
        <w:tc>
          <w:tcPr>
            <w:tcW w:type="dxa" w:w="3685"/>
          </w:tcPr>
          <w:p>
            <w:r/>
            <w:r>
              <w:rPr>
                <w:b/>
                <w:sz w:val="19"/>
              </w:rPr>
              <w:t>Approval required</w:t>
            </w:r>
          </w:p>
        </w:tc>
        <w:tc>
          <w:tcPr>
            <w:tcW w:type="dxa" w:w="2835"/>
          </w:tcPr>
          <w:p>
            <w:r/>
            <w:r>
              <w:rPr>
                <w:b/>
                <w:sz w:val="19"/>
              </w:rPr>
              <w:t>Active period on file</w:t>
            </w:r>
          </w:p>
        </w:tc>
      </w:tr>
      <w:tr>
        <w:tc>
          <w:tcPr>
            <w:tcW w:type="dxa" w:w="2835"/>
          </w:tcPr>
          <w:p>
            <w:r/>
            <w:r>
              <w:rPr>
                <w:sz w:val="19"/>
              </w:rPr>
              <w:t>Documented verbal warning</w:t>
            </w:r>
          </w:p>
        </w:tc>
        <w:tc>
          <w:tcPr>
            <w:tcW w:type="dxa" w:w="3685"/>
          </w:tcPr>
          <w:p>
            <w:r/>
            <w:r>
              <w:rPr>
                <w:sz w:val="19"/>
              </w:rPr>
              <w:t>Manager with HRBP</w:t>
            </w:r>
          </w:p>
        </w:tc>
        <w:tc>
          <w:tcPr>
            <w:tcW w:type="dxa" w:w="2835"/>
          </w:tcPr>
          <w:p>
            <w:r/>
            <w:r>
              <w:rPr>
                <w:sz w:val="19"/>
              </w:rPr>
              <w:t>12 months</w:t>
            </w:r>
          </w:p>
        </w:tc>
      </w:tr>
      <w:tr>
        <w:tc>
          <w:tcPr>
            <w:tcW w:type="dxa" w:w="2835"/>
          </w:tcPr>
          <w:p>
            <w:r/>
            <w:r>
              <w:rPr>
                <w:sz w:val="19"/>
              </w:rPr>
              <w:t>Written warning</w:t>
            </w:r>
          </w:p>
        </w:tc>
        <w:tc>
          <w:tcPr>
            <w:tcW w:type="dxa" w:w="3685"/>
          </w:tcPr>
          <w:p>
            <w:r/>
            <w:r>
              <w:rPr>
                <w:sz w:val="19"/>
              </w:rPr>
              <w:t>Manager with HRBP</w:t>
            </w:r>
          </w:p>
        </w:tc>
        <w:tc>
          <w:tcPr>
            <w:tcW w:type="dxa" w:w="2835"/>
          </w:tcPr>
          <w:p>
            <w:r/>
            <w:r>
              <w:rPr>
                <w:sz w:val="19"/>
              </w:rPr>
              <w:t>18 months</w:t>
            </w:r>
          </w:p>
        </w:tc>
      </w:tr>
      <w:tr>
        <w:tc>
          <w:tcPr>
            <w:tcW w:type="dxa" w:w="2835"/>
          </w:tcPr>
          <w:p>
            <w:r/>
            <w:r>
              <w:rPr>
                <w:sz w:val="19"/>
              </w:rPr>
              <w:t>Final written warning</w:t>
            </w:r>
          </w:p>
        </w:tc>
        <w:tc>
          <w:tcPr>
            <w:tcW w:type="dxa" w:w="3685"/>
          </w:tcPr>
          <w:p>
            <w:r/>
            <w:r>
              <w:rPr>
                <w:sz w:val="19"/>
              </w:rPr>
              <w:t>Director and HRBP</w:t>
            </w:r>
          </w:p>
        </w:tc>
        <w:tc>
          <w:tcPr>
            <w:tcW w:type="dxa" w:w="2835"/>
          </w:tcPr>
          <w:p>
            <w:r/>
            <w:r>
              <w:rPr>
                <w:sz w:val="19"/>
              </w:rPr>
              <w:t>24 months</w:t>
            </w:r>
          </w:p>
        </w:tc>
      </w:tr>
      <w:tr>
        <w:tc>
          <w:tcPr>
            <w:tcW w:type="dxa" w:w="2835"/>
          </w:tcPr>
          <w:p>
            <w:r/>
            <w:r>
              <w:rPr>
                <w:sz w:val="19"/>
              </w:rPr>
              <w:t>Unpaid suspension (1 to 5 days)</w:t>
            </w:r>
          </w:p>
        </w:tc>
        <w:tc>
          <w:tcPr>
            <w:tcW w:type="dxa" w:w="3685"/>
          </w:tcPr>
          <w:p>
            <w:r/>
            <w:r>
              <w:rPr>
                <w:sz w:val="19"/>
              </w:rPr>
              <w:t>Director, Employee Relations</w:t>
            </w:r>
          </w:p>
        </w:tc>
        <w:tc>
          <w:tcPr>
            <w:tcW w:type="dxa" w:w="2835"/>
          </w:tcPr>
          <w:p>
            <w:r/>
            <w:r>
              <w:rPr>
                <w:sz w:val="19"/>
              </w:rPr>
              <w:t>24 months</w:t>
            </w:r>
          </w:p>
        </w:tc>
      </w:tr>
      <w:tr>
        <w:tc>
          <w:tcPr>
            <w:tcW w:type="dxa" w:w="2835"/>
          </w:tcPr>
          <w:p>
            <w:r/>
            <w:r>
              <w:rPr>
                <w:sz w:val="19"/>
              </w:rPr>
              <w:t>Termination for cause</w:t>
            </w:r>
          </w:p>
        </w:tc>
        <w:tc>
          <w:tcPr>
            <w:tcW w:type="dxa" w:w="3685"/>
          </w:tcPr>
          <w:p>
            <w:r/>
            <w:r>
              <w:rPr>
                <w:sz w:val="19"/>
              </w:rPr>
              <w:t>Vice President, People and Culture, after Legal review</w:t>
            </w:r>
          </w:p>
        </w:tc>
        <w:tc>
          <w:tcPr>
            <w:tcW w:type="dxa" w:w="2835"/>
          </w:tcPr>
          <w:p>
            <w:r/>
            <w:r>
              <w:rPr>
                <w:sz w:val="19"/>
              </w:rPr>
              <w:t>Permanent</w:t>
            </w:r>
          </w:p>
        </w:tc>
      </w:tr>
    </w:tbl>
    <w:p/>
    <w:p>
      <w:r>
        <w:t>Code Red safety violations, including a breach of lockout/tagout, working without required arc flash PPE, or operating a vehicle while impaired, may proceed directly to a final written warning or termination without earlier steps.</w:t>
      </w:r>
    </w:p>
    <w:p>
      <w:r>
        <w:t>A warning that has passed its active period may not be relied on for progressive discipline but stays in the case file.</w:t>
      </w:r>
    </w:p>
    <w:p>
      <w:pPr>
        <w:pStyle w:val="Heading1"/>
      </w:pPr>
      <w:r>
        <w:t>5. Meetings</w:t>
      </w:r>
    </w:p>
    <w:p>
      <w:pPr>
        <w:pStyle w:val="ListBullet"/>
      </w:pPr>
      <w:r>
        <w:t>Give the employee at least 24 hours notice of a disciplinary meeting, except for Code Red matters.</w:t>
      </w:r>
    </w:p>
    <w:p>
      <w:pPr>
        <w:pStyle w:val="ListBullet"/>
      </w:pPr>
      <w:r>
        <w:t>An HR representative attends every meeting above verbal warning.</w:t>
      </w:r>
    </w:p>
    <w:p>
      <w:pPr>
        <w:pStyle w:val="ListBullet"/>
      </w:pPr>
      <w:r>
        <w:t>Employees may bring a co-worker as a support person.</w:t>
      </w:r>
    </w:p>
    <w:p>
      <w:pPr>
        <w:pStyle w:val="ListBullet"/>
      </w:pPr>
      <w:r>
        <w:t>The outcome letter is issued within 3 business days of the meeting using template ER-L4.</w:t>
      </w:r>
    </w:p>
    <w:p>
      <w:pPr>
        <w:pStyle w:val="Heading1"/>
      </w:pPr>
      <w:r>
        <w:t>6. Related Documents</w:t>
      </w:r>
    </w:p>
    <w:p>
      <w:pPr>
        <w:pStyle w:val="ListBullet"/>
      </w:pPr>
      <w:r>
        <w:t>Investigation Protocol (HR-RST-103)</w:t>
      </w:r>
    </w:p>
    <w:p>
      <w:pPr>
        <w:pStyle w:val="ListBullet"/>
      </w:pPr>
      <w:r>
        <w:t>Grievance Procedure (HR-POL-070)</w:t>
      </w:r>
    </w:p>
    <w:p>
      <w:pPr>
        <w:pStyle w:val="ListBullet"/>
      </w:pPr>
      <w:r>
        <w:t>Code of Business Conduct (HR-POL-001)</w:t>
      </w:r>
    </w:p>
    <w:p>
      <w:pPr>
        <w:pStyle w:val="Heading1"/>
      </w:pPr>
      <w:r>
        <w:t>7.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1134"/>
          </w:tcPr>
          <w:p>
            <w:r/>
            <w:r>
              <w:rPr>
                <w:b/>
                <w:sz w:val="19"/>
              </w:rPr>
              <w:t>Version</w:t>
            </w:r>
          </w:p>
        </w:tc>
        <w:tc>
          <w:tcPr>
            <w:tcW w:type="dxa" w:w="1587"/>
          </w:tcPr>
          <w:p>
            <w:r/>
            <w:r>
              <w:rPr>
                <w:b/>
                <w:sz w:val="19"/>
              </w:rPr>
              <w:t>Date</w:t>
            </w:r>
          </w:p>
        </w:tc>
        <w:tc>
          <w:tcPr>
            <w:tcW w:type="dxa" w:w="2268"/>
          </w:tcPr>
          <w:p>
            <w:r/>
            <w:r>
              <w:rPr>
                <w:b/>
                <w:sz w:val="19"/>
              </w:rPr>
              <w:t>Author</w:t>
            </w:r>
          </w:p>
        </w:tc>
        <w:tc>
          <w:tcPr>
            <w:tcW w:type="dxa" w:w="4365"/>
          </w:tcPr>
          <w:p>
            <w:r/>
            <w:r>
              <w:rPr>
                <w:b/>
                <w:sz w:val="19"/>
              </w:rPr>
              <w:t>Summary of changes</w:t>
            </w:r>
          </w:p>
        </w:tc>
      </w:tr>
      <w:tr>
        <w:tc>
          <w:tcPr>
            <w:tcW w:type="dxa" w:w="1134"/>
          </w:tcPr>
          <w:p>
            <w:r/>
            <w:r>
              <w:rPr>
                <w:sz w:val="19"/>
              </w:rPr>
              <w:t>1.4</w:t>
            </w:r>
          </w:p>
        </w:tc>
        <w:tc>
          <w:tcPr>
            <w:tcW w:type="dxa" w:w="1587"/>
          </w:tcPr>
          <w:p>
            <w:r/>
            <w:r>
              <w:rPr>
                <w:sz w:val="19"/>
              </w:rPr>
              <w:t>2023-03-01</w:t>
            </w:r>
          </w:p>
        </w:tc>
        <w:tc>
          <w:tcPr>
            <w:tcW w:type="dxa" w:w="2268"/>
          </w:tcPr>
          <w:p>
            <w:r/>
            <w:r>
              <w:rPr>
                <w:sz w:val="19"/>
              </w:rPr>
              <w:t>Hamid Qureshi</w:t>
            </w:r>
          </w:p>
        </w:tc>
        <w:tc>
          <w:tcPr>
            <w:tcW w:type="dxa" w:w="4365"/>
          </w:tcPr>
          <w:p>
            <w:r/>
            <w:r>
              <w:rPr>
                <w:sz w:val="19"/>
              </w:rPr>
              <w:t>Consistency Log introduced.</w:t>
            </w:r>
          </w:p>
        </w:tc>
      </w:tr>
      <w:tr>
        <w:tc>
          <w:tcPr>
            <w:tcW w:type="dxa" w:w="1134"/>
          </w:tcPr>
          <w:p>
            <w:r/>
            <w:r>
              <w:rPr>
                <w:sz w:val="19"/>
              </w:rPr>
              <w:t>1.5</w:t>
            </w:r>
          </w:p>
        </w:tc>
        <w:tc>
          <w:tcPr>
            <w:tcW w:type="dxa" w:w="1587"/>
          </w:tcPr>
          <w:p>
            <w:r/>
            <w:r>
              <w:rPr>
                <w:sz w:val="19"/>
              </w:rPr>
              <w:t>2024-03-01</w:t>
            </w:r>
          </w:p>
        </w:tc>
        <w:tc>
          <w:tcPr>
            <w:tcW w:type="dxa" w:w="2268"/>
          </w:tcPr>
          <w:p>
            <w:r/>
            <w:r>
              <w:rPr>
                <w:sz w:val="19"/>
              </w:rPr>
              <w:t>Hamid Qureshi</w:t>
            </w:r>
          </w:p>
        </w:tc>
        <w:tc>
          <w:tcPr>
            <w:tcW w:type="dxa" w:w="4365"/>
          </w:tcPr>
          <w:p>
            <w:r/>
            <w:r>
              <w:rPr>
                <w:sz w:val="19"/>
              </w:rPr>
              <w:t>Code Red category added.</w:t>
            </w:r>
          </w:p>
        </w:tc>
      </w:tr>
      <w:tr>
        <w:tc>
          <w:tcPr>
            <w:tcW w:type="dxa" w:w="1134"/>
          </w:tcPr>
          <w:p>
            <w:r/>
            <w:r>
              <w:rPr>
                <w:sz w:val="19"/>
              </w:rPr>
              <w:t>1.6</w:t>
            </w:r>
          </w:p>
        </w:tc>
        <w:tc>
          <w:tcPr>
            <w:tcW w:type="dxa" w:w="1587"/>
          </w:tcPr>
          <w:p>
            <w:r/>
            <w:r>
              <w:rPr>
                <w:sz w:val="19"/>
              </w:rPr>
              <w:t>2025-03-01</w:t>
            </w:r>
          </w:p>
        </w:tc>
        <w:tc>
          <w:tcPr>
            <w:tcW w:type="dxa" w:w="2268"/>
          </w:tcPr>
          <w:p>
            <w:r/>
            <w:r>
              <w:rPr>
                <w:sz w:val="19"/>
              </w:rPr>
              <w:t>Hamid Qureshi</w:t>
            </w:r>
          </w:p>
        </w:tc>
        <w:tc>
          <w:tcPr>
            <w:tcW w:type="dxa" w:w="4365"/>
          </w:tcPr>
          <w:p>
            <w:r/>
            <w:r>
              <w:rPr>
                <w:sz w:val="19"/>
              </w:rPr>
              <w:t>Final written warning active period extended from 18 to 24 months.</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Printed copies are uncontrolled. The current version is maintained in the Harbourline Hub HR-Policies library.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B00000"/>
      </w:rPr>
      <w:t xml:space="preserve">RESTRICTED - HR Only    </w:t>
    </w:r>
    <w:r>
      <w:rPr>
        <w:sz w:val="16"/>
      </w:rPr>
      <w:t>Harbourline Energy Co.  |  HR-RST-101  |  Version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Disciplinary Case Handling Procedure</dc:title>
  <dc:subject>Human Resources policy</dc:subject>
  <dc:creator>Harbourline Human Resources</dc:creator>
  <cp:keywords>Harbourline; HR; policy</cp:keywords>
  <dc:description/>
  <cp:lastModifiedBy>Harbourline Human Resources</cp:lastModifiedBy>
  <cp:revision>1</cp:revision>
  <dcterms:created xsi:type="dcterms:W3CDTF">2025-06-01T09:00:00Z</dcterms:created>
  <dcterms:modified xsi:type="dcterms:W3CDTF">2025-06-01T09:00:00Z</dcterms:modified>
  <cp:category>Policy</cp:category>
  <cp:lastPrinted>2025-06-01T09:00:00Z</cp:lastPrinted>
</cp:coreProperties>
</file>