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00"/>
          <w:sz w:val="28"/>
        </w:rPr>
        <w:t>RESTRICTED - HR Only</w:t>
      </w:r>
    </w:p>
    <w:p>
      <w:r>
        <w:rPr>
          <w:b/>
          <w:color w:val="1F3A5F"/>
        </w:rPr>
        <w:t>Harbourline Energy Co.</w:t>
      </w:r>
    </w:p>
    <w:p>
      <w:pPr>
        <w:pStyle w:val="Title"/>
      </w:pPr>
      <w:r>
        <w:t>Executive Compensation Review, Fiscal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Document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HR-RST-102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2025-10-15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Policy owner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Margaret Osei, Vice President, People and Culture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Human Resources and Compensation Committee of the Board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Applies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Board committee members, CEO, VP People and Culture, Director Total Rewards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Next scheduled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2026-10-15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Restricted, HR group only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paper summarises the annual review of executive compensation prepared for the Human Resources and Compensation Committee meeting on 2025-11-18. It contains personal compensation data and must not be shared outside the committee and the named HR staff.</w:t>
      </w:r>
    </w:p>
    <w:p>
      <w:pPr>
        <w:pStyle w:val="Heading1"/>
      </w:pPr>
      <w:r>
        <w:t>2. Market Comparison</w:t>
      </w:r>
    </w:p>
    <w:p>
      <w:r>
        <w:t>The executive peer group includes 14 regulated North American utilities with revenue between 0.5 and 2 times Harbourline's. Target total direct compensation is set at the 50th percentile of the peer group. The independent adviser is Northbridge Compensation Advisors (fictional firm).</w:t>
      </w:r>
    </w:p>
    <w:p>
      <w:pPr>
        <w:pStyle w:val="Heading1"/>
      </w:pPr>
      <w:r>
        <w:t>3. Recommended Fiscal 2026 Compensation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005"/>
          </w:tcPr>
          <w:p>
            <w:r/>
            <w:r>
              <w:rPr>
                <w:b/>
                <w:sz w:val="19"/>
              </w:rPr>
              <w:t>Executive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Current base (CAD)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Recommended base (CAD)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19"/>
              </w:rPr>
              <w:t>STIP target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19"/>
              </w:rPr>
              <w:t>LTIP target</w:t>
            </w:r>
          </w:p>
        </w:tc>
      </w:tr>
      <w:tr>
        <w:tc>
          <w:tcPr>
            <w:tcW w:type="dxa" w:w="3005"/>
          </w:tcPr>
          <w:p>
            <w:r/>
            <w:r>
              <w:rPr>
                <w:sz w:val="19"/>
              </w:rPr>
              <w:t>Eleanor Voss, President and CEO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665,000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685,000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75% of base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150% of base</w:t>
            </w:r>
          </w:p>
        </w:tc>
      </w:tr>
      <w:tr>
        <w:tc>
          <w:tcPr>
            <w:tcW w:type="dxa" w:w="3005"/>
          </w:tcPr>
          <w:p>
            <w:r/>
            <w:r>
              <w:rPr>
                <w:sz w:val="19"/>
              </w:rPr>
              <w:t>Rajiv Menon, Chief Financial Officer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440,000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455,000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50% of base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90% of base</w:t>
            </w:r>
          </w:p>
        </w:tc>
      </w:tr>
      <w:tr>
        <w:tc>
          <w:tcPr>
            <w:tcW w:type="dxa" w:w="3005"/>
          </w:tcPr>
          <w:p>
            <w:r/>
            <w:r>
              <w:rPr>
                <w:sz w:val="19"/>
              </w:rPr>
              <w:t>Dana Okafor, Chief Operating Officer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425,000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440,000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50% of base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90% of base</w:t>
            </w:r>
          </w:p>
        </w:tc>
      </w:tr>
      <w:tr>
        <w:tc>
          <w:tcPr>
            <w:tcW w:type="dxa" w:w="3005"/>
          </w:tcPr>
          <w:p>
            <w:r/>
            <w:r>
              <w:rPr>
                <w:sz w:val="19"/>
              </w:rPr>
              <w:t>Andrew Kim, General Counsel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360,000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372,000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40% of base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60% of base</w:t>
            </w:r>
          </w:p>
        </w:tc>
      </w:tr>
      <w:tr>
        <w:tc>
          <w:tcPr>
            <w:tcW w:type="dxa" w:w="3005"/>
          </w:tcPr>
          <w:p>
            <w:r/>
            <w:r>
              <w:rPr>
                <w:sz w:val="19"/>
              </w:rPr>
              <w:t>Margaret Osei, VP People and Culture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315,000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326,000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40% of base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60% of base</w:t>
            </w:r>
          </w:p>
        </w:tc>
      </w:tr>
    </w:tbl>
    <w:p/>
    <w:p>
      <w:r>
        <w:t>The recommended executive merit budget is 3.5% of executive base payroll.</w:t>
      </w:r>
    </w:p>
    <w:p>
      <w:pPr>
        <w:pStyle w:val="Heading1"/>
      </w:pPr>
      <w:r>
        <w:t>4. Short-Term Incentive Plan (STIP) Scorecard, Fiscal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69"/>
          </w:tcPr>
          <w:p>
            <w:r/>
            <w:r>
              <w:rPr>
                <w:b/>
                <w:sz w:val="19"/>
              </w:rPr>
              <w:t>Measure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Weight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Score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Safety: total recordable injury rate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0.92 (target 1.00)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115%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Reliability: SAIDI minutes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88 (target 95)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Customer satisfaction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20%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84% (target 85%)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Net income versus budget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30%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101.5%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105%</w:t>
            </w:r>
          </w:p>
        </w:tc>
      </w:tr>
    </w:tbl>
    <w:p/>
    <w:p>
      <w:r>
        <w:t>Weighted STIP payout factor: 109%. The Committee may apply discretion of plus or minus 10 points.</w:t>
      </w:r>
    </w:p>
    <w:p>
      <w:pPr>
        <w:pStyle w:val="Heading1"/>
      </w:pPr>
      <w:r>
        <w:t>5. Governance</w:t>
      </w:r>
    </w:p>
    <w:p>
      <w:pPr>
        <w:pStyle w:val="ListBullet"/>
      </w:pPr>
      <w:r>
        <w:t>Clawback applies to incentive pay for 3 years after payment in case of restatement or misconduct.</w:t>
      </w:r>
    </w:p>
    <w:p>
      <w:pPr>
        <w:pStyle w:val="ListBullet"/>
      </w:pPr>
      <w:r>
        <w:t>CEO share ownership guideline: 3 times base salary within 5 years.</w:t>
      </w:r>
    </w:p>
    <w:p>
      <w:pPr>
        <w:pStyle w:val="ListBullet"/>
      </w:pPr>
      <w:r>
        <w:t>Recommendations require Board approval at the 2025-12-09 meeting.</w:t>
      </w:r>
    </w:p>
    <w:p>
      <w:pPr>
        <w:pStyle w:val="Heading1"/>
      </w:pPr>
      <w:r>
        <w:t>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9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2025-10-15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Margaret Osei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Paper prepared for the 2025-11-18 committee meeting.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Printed copies are uncontrolled. The current version is maintained in the Harbourline Hub HR-Policies library.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B00000"/>
      </w:rPr>
      <w:t xml:space="preserve">RESTRICTED - HR Only    </w:t>
    </w:r>
    <w:r>
      <w:rPr>
        <w:sz w:val="16"/>
      </w:rPr>
      <w:t>Harbourline Energy Co.  |  HR-RST-102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Compensation Review, Fiscal 2025</dc:title>
  <dc:subject>Human Resources policy</dc:subject>
  <dc:creator>Harbourline Human Resources</dc:creator>
  <cp:keywords>Harbourline; HR; policy</cp:keywords>
  <dc:description/>
  <cp:lastModifiedBy>Harbourline Human Resources</cp:lastModifiedBy>
  <cp:revision>1</cp:revision>
  <dcterms:created xsi:type="dcterms:W3CDTF">2025-06-01T09:00:00Z</dcterms:created>
  <dcterms:modified xsi:type="dcterms:W3CDTF">2025-06-01T09:00:00Z</dcterms:modified>
  <cp:category>Policy</cp:category>
  <cp:lastPrinted>2025-06-01T09:00:00Z</cp:lastPrinted>
</cp:coreProperties>
</file>