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D5C"/>
          <w:sz w:val="24"/>
        </w:rPr>
        <w:t>Harbourline Energy Co.</w:t>
      </w:r>
    </w:p>
    <w:p>
      <w:pPr>
        <w:pStyle w:val="Title"/>
      </w:pPr>
      <w:r>
        <w:t>Substation and Distribution Switching Procedure</w:t>
      </w:r>
    </w:p>
    <w:tbl>
      <w:tblPr>
        <w:tblStyle w:val="TableGrid"/>
        <w:tblW w:type="auto" w:w="0"/>
        <w:tblLook w:firstColumn="1" w:firstRow="1" w:lastColumn="0" w:lastRow="0" w:noHBand="0" w:noVBand="1" w:val="04A0"/>
      </w:tblPr>
      <w:tblGrid>
        <w:gridCol w:w="4680"/>
        <w:gridCol w:w="4680"/>
      </w:tblGrid>
      <w:tr>
        <w:tc>
          <w:tcPr>
            <w:tcW w:type="dxa" w:w="2592"/>
          </w:tcPr>
          <w:p>
            <w:r/>
            <w:r>
              <w:rPr>
                <w:b/>
                <w:sz w:val="20"/>
              </w:rPr>
              <w:t>Field</w:t>
            </w:r>
          </w:p>
        </w:tc>
        <w:tc>
          <w:tcPr>
            <w:tcW w:type="dxa" w:w="6768"/>
          </w:tcPr>
          <w:p>
            <w:r/>
            <w:r>
              <w:rPr>
                <w:b/>
                <w:sz w:val="20"/>
              </w:rPr>
              <w:t>Value</w:t>
            </w:r>
          </w:p>
        </w:tc>
      </w:tr>
      <w:tr>
        <w:tc>
          <w:tcPr>
            <w:tcW w:type="dxa" w:w="2592"/>
          </w:tcPr>
          <w:p>
            <w:r/>
            <w:r>
              <w:rPr>
                <w:sz w:val="20"/>
              </w:rPr>
              <w:t>Document ID</w:t>
            </w:r>
          </w:p>
        </w:tc>
        <w:tc>
          <w:tcPr>
            <w:tcW w:type="dxa" w:w="6768"/>
          </w:tcPr>
          <w:p>
            <w:r/>
            <w:r>
              <w:rPr>
                <w:sz w:val="20"/>
              </w:rPr>
              <w:t>OPS-PRO-006</w:t>
            </w:r>
          </w:p>
        </w:tc>
      </w:tr>
      <w:tr>
        <w:tc>
          <w:tcPr>
            <w:tcW w:type="dxa" w:w="2592"/>
          </w:tcPr>
          <w:p>
            <w:r/>
            <w:r>
              <w:rPr>
                <w:sz w:val="20"/>
              </w:rPr>
              <w:t>Revision</w:t>
            </w:r>
          </w:p>
        </w:tc>
        <w:tc>
          <w:tcPr>
            <w:tcW w:type="dxa" w:w="6768"/>
          </w:tcPr>
          <w:p>
            <w:r/>
            <w:r>
              <w:rPr>
                <w:sz w:val="20"/>
              </w:rPr>
              <w:t>4</w:t>
            </w:r>
          </w:p>
        </w:tc>
      </w:tr>
      <w:tr>
        <w:tc>
          <w:tcPr>
            <w:tcW w:type="dxa" w:w="2592"/>
          </w:tcPr>
          <w:p>
            <w:r/>
            <w:r>
              <w:rPr>
                <w:sz w:val="20"/>
              </w:rPr>
              <w:t>Effective date</w:t>
            </w:r>
          </w:p>
        </w:tc>
        <w:tc>
          <w:tcPr>
            <w:tcW w:type="dxa" w:w="6768"/>
          </w:tcPr>
          <w:p>
            <w:r/>
            <w:r>
              <w:rPr>
                <w:sz w:val="20"/>
              </w:rPr>
              <w:t>June 1, 2025</w:t>
            </w:r>
          </w:p>
        </w:tc>
      </w:tr>
      <w:tr>
        <w:tc>
          <w:tcPr>
            <w:tcW w:type="dxa" w:w="2592"/>
          </w:tcPr>
          <w:p>
            <w:r/>
            <w:r>
              <w:rPr>
                <w:sz w:val="20"/>
              </w:rPr>
              <w:t>Next review</w:t>
            </w:r>
          </w:p>
        </w:tc>
        <w:tc>
          <w:tcPr>
            <w:tcW w:type="dxa" w:w="6768"/>
          </w:tcPr>
          <w:p>
            <w:r/>
            <w:r>
              <w:rPr>
                <w:sz w:val="20"/>
              </w:rPr>
              <w:t>June 1, 2027</w:t>
            </w:r>
          </w:p>
        </w:tc>
      </w:tr>
      <w:tr>
        <w:tc>
          <w:tcPr>
            <w:tcW w:type="dxa" w:w="2592"/>
          </w:tcPr>
          <w:p>
            <w:r/>
            <w:r>
              <w:rPr>
                <w:sz w:val="20"/>
              </w:rPr>
              <w:t>Document owner</w:t>
            </w:r>
          </w:p>
        </w:tc>
        <w:tc>
          <w:tcPr>
            <w:tcW w:type="dxa" w:w="6768"/>
          </w:tcPr>
          <w:p>
            <w:r/>
            <w:r>
              <w:rPr>
                <w:sz w:val="20"/>
              </w:rPr>
              <w:t>Victor Anand, Manager, System Control</w:t>
            </w:r>
          </w:p>
        </w:tc>
      </w:tr>
      <w:tr>
        <w:tc>
          <w:tcPr>
            <w:tcW w:type="dxa" w:w="2592"/>
          </w:tcPr>
          <w:p>
            <w:r/>
            <w:r>
              <w:rPr>
                <w:sz w:val="20"/>
              </w:rPr>
              <w:t>Approved by</w:t>
            </w:r>
          </w:p>
        </w:tc>
        <w:tc>
          <w:tcPr>
            <w:tcW w:type="dxa" w:w="6768"/>
          </w:tcPr>
          <w:p>
            <w:r/>
            <w:r>
              <w:rPr>
                <w:sz w:val="20"/>
              </w:rPr>
              <w:t>Renata Okafor, Director, Distribution Operations</w:t>
            </w:r>
          </w:p>
        </w:tc>
      </w:tr>
      <w:tr>
        <w:tc>
          <w:tcPr>
            <w:tcW w:type="dxa" w:w="2592"/>
          </w:tcPr>
          <w:p>
            <w:r/>
            <w:r>
              <w:rPr>
                <w:sz w:val="20"/>
              </w:rPr>
              <w:t>Applies to</w:t>
            </w:r>
          </w:p>
        </w:tc>
        <w:tc>
          <w:tcPr>
            <w:tcW w:type="dxa" w:w="6768"/>
          </w:tcPr>
          <w:p>
            <w:r/>
            <w:r>
              <w:rPr>
                <w:sz w:val="20"/>
              </w:rPr>
              <w:t>Distribution System Operators, station operators and qualified switching persons in all regions</w:t>
            </w:r>
          </w:p>
        </w:tc>
      </w:tr>
    </w:tbl>
    <w:p/>
    <w:p>
      <w:pPr>
        <w:pStyle w:val="Heading1"/>
      </w:pPr>
      <w:r>
        <w:t>1. Purpose</w:t>
      </w:r>
    </w:p>
    <w:p>
      <w:r>
        <w:t>This procedure sets the rules for preparing, approving, executing and closing switching orders in Harbourline transformer stations, distribution substations and on distribution feeders, so that equipment is operated in the correct sequence and workers are protected.</w:t>
      </w:r>
    </w:p>
    <w:p>
      <w:pPr>
        <w:pStyle w:val="Heading1"/>
      </w:pPr>
      <w:r>
        <w:t>2. Scope</w:t>
      </w:r>
    </w:p>
    <w:p>
      <w:r>
        <w:t>It applies to all planned and emergency switching on equipment rated 4.16 kV and above that is under the control of a Harbourline control centre. Transmission switching ordered by the Independent Electricity System Operator (Ontario) or by the New York or PJM system operators is performed under those entities' instructions and recorded under this procedure.</w:t>
      </w:r>
    </w:p>
    <w:p>
      <w:pPr>
        <w:pStyle w:val="Heading1"/>
      </w:pPr>
      <w:r>
        <w:t>3. Roles</w:t>
      </w:r>
    </w:p>
    <w:tbl>
      <w:tblPr>
        <w:tblStyle w:val="TableGrid"/>
        <w:tblW w:type="auto" w:w="0"/>
        <w:tblLook w:firstColumn="1" w:firstRow="1" w:lastColumn="0" w:lastRow="0" w:noHBand="0" w:noVBand="1" w:val="04A0"/>
      </w:tblPr>
      <w:tblGrid>
        <w:gridCol w:w="4680"/>
        <w:gridCol w:w="4680"/>
      </w:tblGrid>
      <w:tr>
        <w:tc>
          <w:tcPr>
            <w:tcW w:type="dxa" w:w="4680"/>
          </w:tcPr>
          <w:p>
            <w:r/>
            <w:r>
              <w:rPr>
                <w:b/>
                <w:sz w:val="20"/>
              </w:rPr>
              <w:t>Role</w:t>
            </w:r>
          </w:p>
        </w:tc>
        <w:tc>
          <w:tcPr>
            <w:tcW w:type="dxa" w:w="4680"/>
          </w:tcPr>
          <w:p>
            <w:r/>
            <w:r>
              <w:rPr>
                <w:b/>
                <w:sz w:val="20"/>
              </w:rPr>
              <w:t>Responsibilities</w:t>
            </w:r>
          </w:p>
        </w:tc>
      </w:tr>
      <w:tr>
        <w:tc>
          <w:tcPr>
            <w:tcW w:type="dxa" w:w="4680"/>
          </w:tcPr>
          <w:p>
            <w:r/>
            <w:r>
              <w:rPr>
                <w:sz w:val="20"/>
              </w:rPr>
              <w:t>Distribution System Operator (DSO)</w:t>
            </w:r>
          </w:p>
        </w:tc>
        <w:tc>
          <w:tcPr>
            <w:tcW w:type="dxa" w:w="4680"/>
          </w:tcPr>
          <w:p>
            <w:r/>
            <w:r>
              <w:rPr>
                <w:sz w:val="20"/>
              </w:rPr>
              <w:t>Writes or approves the switching order, issues each step, records execution times, and holds control authority.</w:t>
            </w:r>
          </w:p>
        </w:tc>
      </w:tr>
      <w:tr>
        <w:tc>
          <w:tcPr>
            <w:tcW w:type="dxa" w:w="4680"/>
          </w:tcPr>
          <w:p>
            <w:r/>
            <w:r>
              <w:rPr>
                <w:sz w:val="20"/>
              </w:rPr>
              <w:t>Qualified Switching Person (QSP)</w:t>
            </w:r>
          </w:p>
        </w:tc>
        <w:tc>
          <w:tcPr>
            <w:tcW w:type="dxa" w:w="4680"/>
          </w:tcPr>
          <w:p>
            <w:r/>
            <w:r>
              <w:rPr>
                <w:sz w:val="20"/>
              </w:rPr>
              <w:t>Executes each step in the field exactly as issued and repeats it back before operating.</w:t>
            </w:r>
          </w:p>
        </w:tc>
      </w:tr>
      <w:tr>
        <w:tc>
          <w:tcPr>
            <w:tcW w:type="dxa" w:w="4680"/>
          </w:tcPr>
          <w:p>
            <w:r/>
            <w:r>
              <w:rPr>
                <w:sz w:val="20"/>
              </w:rPr>
              <w:t>Independent Checker</w:t>
            </w:r>
          </w:p>
        </w:tc>
        <w:tc>
          <w:tcPr>
            <w:tcW w:type="dxa" w:w="4680"/>
          </w:tcPr>
          <w:p>
            <w:r/>
            <w:r>
              <w:rPr>
                <w:sz w:val="20"/>
              </w:rPr>
              <w:t>A second DSO who reviews every planned switching order before approval.</w:t>
            </w:r>
          </w:p>
        </w:tc>
      </w:tr>
      <w:tr>
        <w:tc>
          <w:tcPr>
            <w:tcW w:type="dxa" w:w="4680"/>
          </w:tcPr>
          <w:p>
            <w:r/>
            <w:r>
              <w:rPr>
                <w:sz w:val="20"/>
              </w:rPr>
              <w:t>Station Operator</w:t>
            </w:r>
          </w:p>
        </w:tc>
        <w:tc>
          <w:tcPr>
            <w:tcW w:type="dxa" w:w="4680"/>
          </w:tcPr>
          <w:p>
            <w:r/>
            <w:r>
              <w:rPr>
                <w:sz w:val="20"/>
              </w:rPr>
              <w:t>Performs switching in staffed stations and verifies local indications.</w:t>
            </w:r>
          </w:p>
        </w:tc>
      </w:tr>
    </w:tbl>
    <w:p/>
    <w:p>
      <w:pPr>
        <w:pStyle w:val="Heading1"/>
      </w:pPr>
      <w:r>
        <w:t>4. Switching Order Numbering</w:t>
      </w:r>
    </w:p>
    <w:p>
      <w:r>
        <w:t>Switching orders are numbered SO-SSS-YYMMDD-NN, where SSS is the three letter station code, YYMMDD is the planned execution date, and NN is a two digit sequence for that station and day. Example: SO-KNG-261015-03 is the third switching order for Kingston TS on October 15, 2026.</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20"/>
              </w:rPr>
              <w:t>Station code</w:t>
            </w:r>
          </w:p>
        </w:tc>
        <w:tc>
          <w:tcPr>
            <w:tcW w:type="dxa" w:w="3120"/>
          </w:tcPr>
          <w:p>
            <w:r/>
            <w:r>
              <w:rPr>
                <w:b/>
                <w:sz w:val="20"/>
              </w:rPr>
              <w:t>Station</w:t>
            </w:r>
          </w:p>
        </w:tc>
        <w:tc>
          <w:tcPr>
            <w:tcW w:type="dxa" w:w="3120"/>
          </w:tcPr>
          <w:p>
            <w:r/>
            <w:r>
              <w:rPr>
                <w:b/>
                <w:sz w:val="20"/>
              </w:rPr>
              <w:t>Voltage transformation</w:t>
            </w:r>
          </w:p>
        </w:tc>
      </w:tr>
      <w:tr>
        <w:tc>
          <w:tcPr>
            <w:tcW w:type="dxa" w:w="3120"/>
          </w:tcPr>
          <w:p>
            <w:r/>
            <w:r>
              <w:rPr>
                <w:sz w:val="20"/>
              </w:rPr>
              <w:t>KNG</w:t>
            </w:r>
          </w:p>
        </w:tc>
        <w:tc>
          <w:tcPr>
            <w:tcW w:type="dxa" w:w="3120"/>
          </w:tcPr>
          <w:p>
            <w:r/>
            <w:r>
              <w:rPr>
                <w:sz w:val="20"/>
              </w:rPr>
              <w:t>Kingston TS</w:t>
            </w:r>
          </w:p>
        </w:tc>
        <w:tc>
          <w:tcPr>
            <w:tcW w:type="dxa" w:w="3120"/>
          </w:tcPr>
          <w:p>
            <w:r/>
            <w:r>
              <w:rPr>
                <w:sz w:val="20"/>
              </w:rPr>
              <w:t>115 kV to 44 kV and 27.6 kV</w:t>
            </w:r>
          </w:p>
        </w:tc>
      </w:tr>
      <w:tr>
        <w:tc>
          <w:tcPr>
            <w:tcW w:type="dxa" w:w="3120"/>
          </w:tcPr>
          <w:p>
            <w:r/>
            <w:r>
              <w:rPr>
                <w:sz w:val="20"/>
              </w:rPr>
              <w:t>NPN</w:t>
            </w:r>
          </w:p>
        </w:tc>
        <w:tc>
          <w:tcPr>
            <w:tcW w:type="dxa" w:w="3120"/>
          </w:tcPr>
          <w:p>
            <w:r/>
            <w:r>
              <w:rPr>
                <w:sz w:val="20"/>
              </w:rPr>
              <w:t>Napanee DS</w:t>
            </w:r>
          </w:p>
        </w:tc>
        <w:tc>
          <w:tcPr>
            <w:tcW w:type="dxa" w:w="3120"/>
          </w:tcPr>
          <w:p>
            <w:r/>
            <w:r>
              <w:rPr>
                <w:sz w:val="20"/>
              </w:rPr>
              <w:t>44 kV to 27.6 kV</w:t>
            </w:r>
          </w:p>
        </w:tc>
      </w:tr>
      <w:tr>
        <w:tc>
          <w:tcPr>
            <w:tcW w:type="dxa" w:w="3120"/>
          </w:tcPr>
          <w:p>
            <w:r/>
            <w:r>
              <w:rPr>
                <w:sz w:val="20"/>
              </w:rPr>
              <w:t>BAR</w:t>
            </w:r>
          </w:p>
        </w:tc>
        <w:tc>
          <w:tcPr>
            <w:tcW w:type="dxa" w:w="3120"/>
          </w:tcPr>
          <w:p>
            <w:r/>
            <w:r>
              <w:rPr>
                <w:sz w:val="20"/>
              </w:rPr>
              <w:t>Barrie TS</w:t>
            </w:r>
          </w:p>
        </w:tc>
        <w:tc>
          <w:tcPr>
            <w:tcW w:type="dxa" w:w="3120"/>
          </w:tcPr>
          <w:p>
            <w:r/>
            <w:r>
              <w:rPr>
                <w:sz w:val="20"/>
              </w:rPr>
              <w:t>230 kV to 44 kV</w:t>
            </w:r>
          </w:p>
        </w:tc>
      </w:tr>
      <w:tr>
        <w:tc>
          <w:tcPr>
            <w:tcW w:type="dxa" w:w="3120"/>
          </w:tcPr>
          <w:p>
            <w:r/>
            <w:r>
              <w:rPr>
                <w:sz w:val="20"/>
              </w:rPr>
              <w:t>ORL</w:t>
            </w:r>
          </w:p>
        </w:tc>
        <w:tc>
          <w:tcPr>
            <w:tcW w:type="dxa" w:w="3120"/>
          </w:tcPr>
          <w:p>
            <w:r/>
            <w:r>
              <w:rPr>
                <w:sz w:val="20"/>
              </w:rPr>
              <w:t>Orillia DS</w:t>
            </w:r>
          </w:p>
        </w:tc>
        <w:tc>
          <w:tcPr>
            <w:tcW w:type="dxa" w:w="3120"/>
          </w:tcPr>
          <w:p>
            <w:r/>
            <w:r>
              <w:rPr>
                <w:sz w:val="20"/>
              </w:rPr>
              <w:t>44 kV to 13.8 kV</w:t>
            </w:r>
          </w:p>
        </w:tc>
      </w:tr>
      <w:tr>
        <w:tc>
          <w:tcPr>
            <w:tcW w:type="dxa" w:w="3120"/>
          </w:tcPr>
          <w:p>
            <w:r/>
            <w:r>
              <w:rPr>
                <w:sz w:val="20"/>
              </w:rPr>
              <w:t>WHT</w:t>
            </w:r>
          </w:p>
        </w:tc>
        <w:tc>
          <w:tcPr>
            <w:tcW w:type="dxa" w:w="3120"/>
          </w:tcPr>
          <w:p>
            <w:r/>
            <w:r>
              <w:rPr>
                <w:sz w:val="20"/>
              </w:rPr>
              <w:t>Whitby TS</w:t>
            </w:r>
          </w:p>
        </w:tc>
        <w:tc>
          <w:tcPr>
            <w:tcW w:type="dxa" w:w="3120"/>
          </w:tcPr>
          <w:p>
            <w:r/>
            <w:r>
              <w:rPr>
                <w:sz w:val="20"/>
              </w:rPr>
              <w:t>230 kV to 27.6 kV</w:t>
            </w:r>
          </w:p>
        </w:tc>
      </w:tr>
      <w:tr>
        <w:tc>
          <w:tcPr>
            <w:tcW w:type="dxa" w:w="3120"/>
          </w:tcPr>
          <w:p>
            <w:r/>
            <w:r>
              <w:rPr>
                <w:sz w:val="20"/>
              </w:rPr>
              <w:t>WTN</w:t>
            </w:r>
          </w:p>
        </w:tc>
        <w:tc>
          <w:tcPr>
            <w:tcW w:type="dxa" w:w="3120"/>
          </w:tcPr>
          <w:p>
            <w:r/>
            <w:r>
              <w:rPr>
                <w:sz w:val="20"/>
              </w:rPr>
              <w:t>Watertown Substation</w:t>
            </w:r>
          </w:p>
        </w:tc>
        <w:tc>
          <w:tcPr>
            <w:tcW w:type="dxa" w:w="3120"/>
          </w:tcPr>
          <w:p>
            <w:r/>
            <w:r>
              <w:rPr>
                <w:sz w:val="20"/>
              </w:rPr>
              <w:t>115 kV to 13.2 kV</w:t>
            </w:r>
          </w:p>
        </w:tc>
      </w:tr>
      <w:tr>
        <w:tc>
          <w:tcPr>
            <w:tcW w:type="dxa" w:w="3120"/>
          </w:tcPr>
          <w:p>
            <w:r/>
            <w:r>
              <w:rPr>
                <w:sz w:val="20"/>
              </w:rPr>
              <w:t>JMS</w:t>
            </w:r>
          </w:p>
        </w:tc>
        <w:tc>
          <w:tcPr>
            <w:tcW w:type="dxa" w:w="3120"/>
          </w:tcPr>
          <w:p>
            <w:r/>
            <w:r>
              <w:rPr>
                <w:sz w:val="20"/>
              </w:rPr>
              <w:t>Jamestown Substation</w:t>
            </w:r>
          </w:p>
        </w:tc>
        <w:tc>
          <w:tcPr>
            <w:tcW w:type="dxa" w:w="3120"/>
          </w:tcPr>
          <w:p>
            <w:r/>
            <w:r>
              <w:rPr>
                <w:sz w:val="20"/>
              </w:rPr>
              <w:t>115 kV to 13.2 kV</w:t>
            </w:r>
          </w:p>
        </w:tc>
      </w:tr>
      <w:tr>
        <w:tc>
          <w:tcPr>
            <w:tcW w:type="dxa" w:w="3120"/>
          </w:tcPr>
          <w:p>
            <w:r/>
            <w:r>
              <w:rPr>
                <w:sz w:val="20"/>
              </w:rPr>
              <w:t>ASH</w:t>
            </w:r>
          </w:p>
        </w:tc>
        <w:tc>
          <w:tcPr>
            <w:tcW w:type="dxa" w:w="3120"/>
          </w:tcPr>
          <w:p>
            <w:r/>
            <w:r>
              <w:rPr>
                <w:sz w:val="20"/>
              </w:rPr>
              <w:t>Ashtabula Substation</w:t>
            </w:r>
          </w:p>
        </w:tc>
        <w:tc>
          <w:tcPr>
            <w:tcW w:type="dxa" w:w="3120"/>
          </w:tcPr>
          <w:p>
            <w:r/>
            <w:r>
              <w:rPr>
                <w:sz w:val="20"/>
              </w:rPr>
              <w:t>138 kV to 12.47 kV</w:t>
            </w:r>
          </w:p>
        </w:tc>
      </w:tr>
      <w:tr>
        <w:tc>
          <w:tcPr>
            <w:tcW w:type="dxa" w:w="3120"/>
          </w:tcPr>
          <w:p>
            <w:r/>
            <w:r>
              <w:rPr>
                <w:sz w:val="20"/>
              </w:rPr>
              <w:t>MNS</w:t>
            </w:r>
          </w:p>
        </w:tc>
        <w:tc>
          <w:tcPr>
            <w:tcW w:type="dxa" w:w="3120"/>
          </w:tcPr>
          <w:p>
            <w:r/>
            <w:r>
              <w:rPr>
                <w:sz w:val="20"/>
              </w:rPr>
              <w:t>Mansfield Substation</w:t>
            </w:r>
          </w:p>
        </w:tc>
        <w:tc>
          <w:tcPr>
            <w:tcW w:type="dxa" w:w="3120"/>
          </w:tcPr>
          <w:p>
            <w:r/>
            <w:r>
              <w:rPr>
                <w:sz w:val="20"/>
              </w:rPr>
              <w:t>138 kV to 12.47 kV</w:t>
            </w:r>
          </w:p>
        </w:tc>
      </w:tr>
    </w:tbl>
    <w:p/>
    <w:p>
      <w:pPr>
        <w:pStyle w:val="Heading1"/>
      </w:pPr>
      <w:r>
        <w:t>5. Preparing a Switching Order</w:t>
      </w:r>
    </w:p>
    <w:p>
      <w:pPr>
        <w:pStyle w:val="ListBullet"/>
      </w:pPr>
      <w:r>
        <w:t>Planned switching orders are written from the current operating diagram and submitted at least 3 business days before execution.</w:t>
      </w:r>
    </w:p>
    <w:p>
      <w:pPr>
        <w:pStyle w:val="ListBullet"/>
      </w:pPr>
      <w:r>
        <w:t>Every order lists each device by its unique operating designation (for example, KNG T2 LV breaker 52T2L), the operation (open, close, rack out, lock, tag, ground), and the expected indication.</w:t>
      </w:r>
    </w:p>
    <w:p>
      <w:pPr>
        <w:pStyle w:val="ListBullet"/>
      </w:pPr>
      <w:r>
        <w:t>The Independent Checker verifies the order against the operating diagram and signs it.</w:t>
      </w:r>
    </w:p>
    <w:p>
      <w:pPr>
        <w:pStyle w:val="ListBullet"/>
      </w:pPr>
      <w:r>
        <w:t>Emergency switching orders may be written and executed without the 3 day lead time, but must still be reviewed by a second DSO before execution when one is available.</w:t>
      </w:r>
    </w:p>
    <w:p>
      <w:pPr>
        <w:pStyle w:val="Heading1"/>
      </w:pPr>
      <w:r>
        <w:t>6. Execution Rules</w:t>
      </w:r>
    </w:p>
    <w:p>
      <w:pPr>
        <w:pStyle w:val="Heading2"/>
      </w:pPr>
      <w:r>
        <w:t>6.1 Three-way communication</w:t>
      </w:r>
    </w:p>
    <w:p>
      <w:r>
        <w:t>Every instruction uses three-way communication: the DSO states the step, the QSP repeats it back word for word, and the DSO confirms "That is correct" before the QSP operates. The NATO phonetic alphabet is used for letters in device designations.</w:t>
      </w:r>
    </w:p>
    <w:p>
      <w:pPr>
        <w:pStyle w:val="Heading2"/>
      </w:pPr>
      <w:r>
        <w:t>6.2 One step at a time</w:t>
      </w:r>
    </w:p>
    <w:p>
      <w:r>
        <w:t>Only one step is issued at a time. The QSP reports completion and the observed indication, and the DSO records the time before issuing the next step. Steps are never executed out of sequence.</w:t>
      </w:r>
    </w:p>
    <w:p>
      <w:pPr>
        <w:pStyle w:val="Heading2"/>
      </w:pPr>
      <w:r>
        <w:t>6.3 Validity and interruptions</w:t>
      </w:r>
    </w:p>
    <w:p>
      <w:pPr>
        <w:pStyle w:val="ListBullet"/>
      </w:pPr>
      <w:r>
        <w:t>A switching order is valid for 12 hours from the time the first step is issued. After 12 hours the remaining steps must be re-verified by the DSO against the operating diagram.</w:t>
      </w:r>
    </w:p>
    <w:p>
      <w:pPr>
        <w:pStyle w:val="ListBullet"/>
      </w:pPr>
      <w:r>
        <w:t>If execution is interrupted for more than 30 minutes, the DSO and QSP re-verify the status of every device operated so far before continuing.</w:t>
      </w:r>
    </w:p>
    <w:p>
      <w:pPr>
        <w:pStyle w:val="ListBullet"/>
      </w:pPr>
      <w:r>
        <w:t>If an indication does not match the expected indication, the QSP stops, makes the area safe and reports to the DSO. Switching resumes only after the DSO has resolved the discrepancy.</w:t>
      </w:r>
    </w:p>
    <w:p>
      <w:pPr>
        <w:pStyle w:val="Heading2"/>
      </w:pPr>
      <w:r>
        <w:t>6.4 Interlocks</w:t>
      </w:r>
    </w:p>
    <w:p>
      <w:r>
        <w:t>Interlocks must never be bypassed without a written interlock bypass authorization from the Manager, System Control, recorded on the switching order.</w:t>
      </w:r>
    </w:p>
    <w:p>
      <w:pPr>
        <w:pStyle w:val="Heading1"/>
      </w:pPr>
      <w:r>
        <w:t>7. Typical Sequence: Isolating a Station Power Transformer</w:t>
      </w:r>
    </w:p>
    <w:p>
      <w:pPr>
        <w:ind w:left="360"/>
      </w:pPr>
      <w:r>
        <w:rPr>
          <w:b/>
        </w:rPr>
        <w:t xml:space="preserve">Step 1. </w:t>
      </w:r>
      <w:r>
        <w:t>Transfer load to the adjacent transformer by closing the bus tie breaker, confirming the load pick up.</w:t>
      </w:r>
    </w:p>
    <w:p>
      <w:pPr>
        <w:ind w:left="360"/>
      </w:pPr>
      <w:r>
        <w:rPr>
          <w:b/>
        </w:rPr>
        <w:t xml:space="preserve">Step 2. </w:t>
      </w:r>
      <w:r>
        <w:t>Open the transformer low voltage breaker and confirm open indication locally and on SCADA.</w:t>
      </w:r>
    </w:p>
    <w:p>
      <w:pPr>
        <w:ind w:left="360"/>
      </w:pPr>
      <w:r>
        <w:rPr>
          <w:b/>
        </w:rPr>
        <w:t xml:space="preserve">Step 3. </w:t>
      </w:r>
      <w:r>
        <w:t>Open the transformer high voltage circuit switcher and confirm open indication.</w:t>
      </w:r>
    </w:p>
    <w:p>
      <w:pPr>
        <w:ind w:left="360"/>
      </w:pPr>
      <w:r>
        <w:rPr>
          <w:b/>
        </w:rPr>
        <w:t xml:space="preserve">Step 4. </w:t>
      </w:r>
      <w:r>
        <w:t>Open and lock the high voltage and low voltage disconnect switches.</w:t>
      </w:r>
    </w:p>
    <w:p>
      <w:pPr>
        <w:ind w:left="360"/>
      </w:pPr>
      <w:r>
        <w:rPr>
          <w:b/>
        </w:rPr>
        <w:t xml:space="preserve">Step 5. </w:t>
      </w:r>
      <w:r>
        <w:t>Rack out the low voltage breaker to the disconnected position.</w:t>
      </w:r>
    </w:p>
    <w:p>
      <w:pPr>
        <w:ind w:left="360"/>
      </w:pPr>
      <w:r>
        <w:rPr>
          <w:b/>
        </w:rPr>
        <w:t xml:space="preserve">Step 6. </w:t>
      </w:r>
      <w:r>
        <w:t>Apply operations locks and danger tags under SAF-MAN-002 and issue the Work Protection Permit.</w:t>
      </w:r>
    </w:p>
    <w:p>
      <w:pPr>
        <w:ind w:left="360"/>
      </w:pPr>
      <w:r>
        <w:rPr>
          <w:b/>
        </w:rPr>
        <w:t xml:space="preserve">Step 7. </w:t>
      </w:r>
      <w:r>
        <w:t>Test for absence of voltage and apply working grounds on both sides of the transformer.</w:t>
      </w:r>
    </w:p>
    <w:p>
      <w:pPr>
        <w:pStyle w:val="Heading1"/>
      </w:pPr>
      <w:r>
        <w:t>8. Closing a Switching Order</w:t>
      </w:r>
    </w:p>
    <w:p>
      <w:r>
        <w:t>The DSO closes the order when all steps are complete, the operating diagram is updated, and any permits have been surrendered. Completed orders are retained for 7 years.</w:t>
      </w:r>
    </w:p>
    <w:p>
      <w:pPr>
        <w:pStyle w:val="Heading1"/>
      </w:pPr>
      <w:r>
        <w:t>9. Related Documents</w:t>
      </w:r>
    </w:p>
    <w:p>
      <w:pPr>
        <w:pStyle w:val="ListBullet"/>
      </w:pPr>
      <w:r>
        <w:t>OPS-PRO-001 Outage Response Procedure</w:t>
      </w:r>
    </w:p>
    <w:p>
      <w:pPr>
        <w:pStyle w:val="ListBullet"/>
      </w:pPr>
      <w:r>
        <w:t>SAF-MAN-002 Lockout and Tagout Safety Manual</w:t>
      </w:r>
    </w:p>
    <w:p>
      <w:pPr>
        <w:pStyle w:val="Heading1"/>
      </w:pPr>
      <w:r>
        <w:t>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r>
              <w:rPr>
                <w:b/>
                <w:sz w:val="20"/>
              </w:rPr>
              <w:t>Revision</w:t>
            </w:r>
          </w:p>
        </w:tc>
        <w:tc>
          <w:tcPr>
            <w:tcW w:type="dxa" w:w="1584"/>
          </w:tcPr>
          <w:p>
            <w:r/>
            <w:r>
              <w:rPr>
                <w:b/>
                <w:sz w:val="20"/>
              </w:rPr>
              <w:t>Date</w:t>
            </w:r>
          </w:p>
        </w:tc>
        <w:tc>
          <w:tcPr>
            <w:tcW w:type="dxa" w:w="2304"/>
          </w:tcPr>
          <w:p>
            <w:r/>
            <w:r>
              <w:rPr>
                <w:b/>
                <w:sz w:val="20"/>
              </w:rPr>
              <w:t>Author</w:t>
            </w:r>
          </w:p>
        </w:tc>
        <w:tc>
          <w:tcPr>
            <w:tcW w:type="dxa" w:w="4320"/>
          </w:tcPr>
          <w:p>
            <w:r/>
            <w:r>
              <w:rPr>
                <w:b/>
                <w:sz w:val="20"/>
              </w:rPr>
              <w:t>Summary of changes</w:t>
            </w:r>
          </w:p>
        </w:tc>
      </w:tr>
      <w:tr>
        <w:tc>
          <w:tcPr>
            <w:tcW w:type="dxa" w:w="1152"/>
          </w:tcPr>
          <w:p>
            <w:r/>
            <w:r>
              <w:rPr>
                <w:sz w:val="20"/>
              </w:rPr>
              <w:t>3</w:t>
            </w:r>
          </w:p>
        </w:tc>
        <w:tc>
          <w:tcPr>
            <w:tcW w:type="dxa" w:w="1584"/>
          </w:tcPr>
          <w:p>
            <w:r/>
            <w:r>
              <w:rPr>
                <w:sz w:val="20"/>
              </w:rPr>
              <w:t>2023-04-12</w:t>
            </w:r>
          </w:p>
        </w:tc>
        <w:tc>
          <w:tcPr>
            <w:tcW w:type="dxa" w:w="2304"/>
          </w:tcPr>
          <w:p>
            <w:r/>
            <w:r>
              <w:rPr>
                <w:sz w:val="20"/>
              </w:rPr>
              <w:t>V. Anand</w:t>
            </w:r>
          </w:p>
        </w:tc>
        <w:tc>
          <w:tcPr>
            <w:tcW w:type="dxa" w:w="4320"/>
          </w:tcPr>
          <w:p>
            <w:r/>
            <w:r>
              <w:rPr>
                <w:sz w:val="20"/>
              </w:rPr>
              <w:t>Added Ohio station codes.</w:t>
            </w:r>
          </w:p>
        </w:tc>
      </w:tr>
      <w:tr>
        <w:tc>
          <w:tcPr>
            <w:tcW w:type="dxa" w:w="1152"/>
          </w:tcPr>
          <w:p>
            <w:r/>
            <w:r>
              <w:rPr>
                <w:sz w:val="20"/>
              </w:rPr>
              <w:t>4</w:t>
            </w:r>
          </w:p>
        </w:tc>
        <w:tc>
          <w:tcPr>
            <w:tcW w:type="dxa" w:w="1584"/>
          </w:tcPr>
          <w:p>
            <w:r/>
            <w:r>
              <w:rPr>
                <w:sz w:val="20"/>
              </w:rPr>
              <w:t>2025-06-01</w:t>
            </w:r>
          </w:p>
        </w:tc>
        <w:tc>
          <w:tcPr>
            <w:tcW w:type="dxa" w:w="2304"/>
          </w:tcPr>
          <w:p>
            <w:r/>
            <w:r>
              <w:rPr>
                <w:sz w:val="20"/>
              </w:rPr>
              <w:t>V. Anand</w:t>
            </w:r>
          </w:p>
        </w:tc>
        <w:tc>
          <w:tcPr>
            <w:tcW w:type="dxa" w:w="4320"/>
          </w:tcPr>
          <w:p>
            <w:r/>
            <w:r>
              <w:rPr>
                <w:sz w:val="20"/>
              </w:rPr>
              <w:t>Switching order validity changed from 8 hours to 12 hours.</w:t>
            </w:r>
          </w:p>
        </w:tc>
      </w:tr>
    </w:tbl>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Controlled document. Printed copies are uncontrolled. Verify the current revision on the Harbourline-Operations site.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Harbourline Energy Co.  |  OPS-PRO-006  |  Substation and Distribution Switching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Substation and Distribution Switching Procedure</dc:title>
  <dc:subject>OPS-PRO-006</dc:subject>
  <dc:creator>Harbourline Energy Co.</dc:creator>
  <cp:keywords/>
  <dc:description>generated by python-docx</dc:description>
  <cp:lastModifiedBy>Harbourline Energy Co.</cp:lastModifiedBy>
  <cp:revision>1</cp:revision>
  <dcterms:created xsi:type="dcterms:W3CDTF">2026-09-15T09:00:00Z</dcterms:created>
  <dcterms:modified xsi:type="dcterms:W3CDTF">2026-09-15T09:00:00Z</dcterms:modified>
  <cp:category/>
</cp:coreProperties>
</file>