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Policy</w:t>
      </w:r>
    </w:p>
    <w:p>
      <w:r>
        <w:rPr>
          <w:i/>
          <w:color w:val="404040"/>
        </w:rPr>
        <w:t>Reimbursement of business travel and other business expenses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Document ID</w:t>
            </w:r>
          </w:p>
        </w:tc>
        <w:tc>
          <w:tcPr>
            <w:tcW w:type="dxa" w:w="4320"/>
          </w:tcPr>
          <w:p>
            <w:r>
              <w:t>HLE-FIN-101</w:t>
            </w:r>
          </w:p>
        </w:tc>
      </w:tr>
      <w:tr>
        <w:tc>
          <w:tcPr>
            <w:tcW w:type="dxa" w:w="4320"/>
          </w:tcPr>
          <w:p>
            <w:r>
              <w:t>Owner</w:t>
            </w:r>
          </w:p>
        </w:tc>
        <w:tc>
          <w:tcPr>
            <w:tcW w:type="dxa" w:w="4320"/>
          </w:tcPr>
          <w:p>
            <w:r>
              <w:t>Finance, Office of the Controller</w:t>
            </w:r>
          </w:p>
        </w:tc>
      </w:tr>
      <w:tr>
        <w:tc>
          <w:tcPr>
            <w:tcW w:type="dxa" w:w="4320"/>
          </w:tcPr>
          <w:p>
            <w:r>
              <w:t>Effective date</w:t>
            </w:r>
          </w:p>
        </w:tc>
        <w:tc>
          <w:tcPr>
            <w:tcW w:type="dxa" w:w="4320"/>
          </w:tcPr>
          <w:p>
            <w:r>
              <w:t>2025-04-01</w:t>
            </w:r>
          </w:p>
        </w:tc>
      </w:tr>
      <w:tr>
        <w:tc>
          <w:tcPr>
            <w:tcW w:type="dxa" w:w="4320"/>
          </w:tcPr>
          <w:p>
            <w:r>
              <w:t>Version</w:t>
            </w:r>
          </w:p>
        </w:tc>
        <w:tc>
          <w:tcPr>
            <w:tcW w:type="dxa" w:w="4320"/>
          </w:tcPr>
          <w:p>
            <w:r>
              <w:t>6.0</w:t>
            </w:r>
          </w:p>
        </w:tc>
      </w:tr>
      <w:tr>
        <w:tc>
          <w:tcPr>
            <w:tcW w:type="dxa" w:w="4320"/>
          </w:tcPr>
          <w:p>
            <w:r>
              <w:t>Applies to</w:t>
            </w:r>
          </w:p>
        </w:tc>
        <w:tc>
          <w:tcPr>
            <w:tcW w:type="dxa" w:w="4320"/>
          </w:tcPr>
          <w:p>
            <w:r>
              <w:t>All Harbourline Energy Co. employees unless stated otherwise</w:t>
            </w:r>
          </w:p>
        </w:tc>
      </w:tr>
    </w:tbl>
    <w:p/>
    <w:p>
      <w:pPr>
        <w:pStyle w:val="Heading1"/>
      </w:pPr>
      <w:r>
        <w:t>1. Purpose and scope</w:t>
      </w:r>
    </w:p>
    <w:p>
      <w:r>
        <w:t>This policy sets out how Harbourline Energy Co. reimburses employees for reasonable business expenses. It applies to all employees in Ontario, New York and Ohio. Expenses must be necessary for Harbourline business, reasonable in amount and supported by documentation.</w:t>
      </w:r>
    </w:p>
    <w:p>
      <w:r>
        <w:t>Ontario employees are reimbursed in Canadian dollars (CAD). New York and Ohio employees are reimbursed in US dollars (USD). Costs of service that are recovered through regulated rates must also meet the prudence standard expected by our regulators.</w:t>
      </w:r>
    </w:p>
    <w:p>
      <w:pPr>
        <w:pStyle w:val="Heading1"/>
      </w:pPr>
      <w:r>
        <w:t>2. Roles and responsibilities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t>Employee</w:t>
            </w:r>
          </w:p>
        </w:tc>
        <w:tc>
          <w:tcPr>
            <w:tcW w:type="dxa" w:w="4320"/>
          </w:tcPr>
          <w:p>
            <w:r>
              <w:t>Incurs only necessary expenses, keeps receipts and submits claims on time.</w:t>
            </w:r>
          </w:p>
        </w:tc>
      </w:tr>
      <w:tr>
        <w:tc>
          <w:tcPr>
            <w:tcW w:type="dxa" w:w="4320"/>
          </w:tcPr>
          <w:p>
            <w:r>
              <w:t>Approving manager</w:t>
            </w:r>
          </w:p>
        </w:tc>
        <w:tc>
          <w:tcPr>
            <w:tcW w:type="dxa" w:w="4320"/>
          </w:tcPr>
          <w:p>
            <w:r>
              <w:t>Reviews every claim for business purpose and policy compliance within 5 business days.</w:t>
            </w:r>
          </w:p>
        </w:tc>
      </w:tr>
      <w:tr>
        <w:tc>
          <w:tcPr>
            <w:tcW w:type="dxa" w:w="4320"/>
          </w:tcPr>
          <w:p>
            <w:r>
              <w:t>Accounts Payable</w:t>
            </w:r>
          </w:p>
        </w:tc>
        <w:tc>
          <w:tcPr>
            <w:tcW w:type="dxa" w:w="4320"/>
          </w:tcPr>
          <w:p>
            <w:r>
              <w:t>Audits claims, processes reimbursement and reports exceptions monthly.</w:t>
            </w:r>
          </w:p>
        </w:tc>
      </w:tr>
      <w:tr>
        <w:tc>
          <w:tcPr>
            <w:tcW w:type="dxa" w:w="4320"/>
          </w:tcPr>
          <w:p>
            <w:r>
              <w:t>Controller</w:t>
            </w:r>
          </w:p>
        </w:tc>
        <w:tc>
          <w:tcPr>
            <w:tcW w:type="dxa" w:w="4320"/>
          </w:tcPr>
          <w:p>
            <w:r>
              <w:t>Owns this policy and approves exceptions below VP level.</w:t>
            </w:r>
          </w:p>
        </w:tc>
      </w:tr>
    </w:tbl>
    <w:p/>
    <w:p>
      <w:pPr>
        <w:pStyle w:val="Heading1"/>
      </w:pPr>
      <w:r>
        <w:t>3. Meals and per diem rates</w:t>
      </w:r>
    </w:p>
    <w:p>
      <w:r>
        <w:t>When travelling overnight on company business, employees may claim a daily meal per diem instead of actual meal costs. Receipts are not required for per diem claims. Per diem is not paid for meals provided by a hotel, conference or client.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Meal</w:t>
            </w:r>
          </w:p>
        </w:tc>
        <w:tc>
          <w:tcPr>
            <w:tcW w:type="dxa" w:w="2880"/>
          </w:tcPr>
          <w:p>
            <w:r/>
            <w:r>
              <w:rPr>
                <w:b/>
              </w:rPr>
              <w:t>Ontario (CAD)</w:t>
            </w:r>
          </w:p>
        </w:tc>
        <w:tc>
          <w:tcPr>
            <w:tcW w:type="dxa" w:w="2880"/>
          </w:tcPr>
          <w:p>
            <w:r/>
            <w:r>
              <w:rPr>
                <w:b/>
              </w:rPr>
              <w:t>New York and Ohio (USD)</w:t>
            </w:r>
          </w:p>
        </w:tc>
      </w:tr>
      <w:tr>
        <w:tc>
          <w:tcPr>
            <w:tcW w:type="dxa" w:w="2880"/>
          </w:tcPr>
          <w:p>
            <w:r>
              <w:t>Breakfast</w:t>
            </w:r>
          </w:p>
        </w:tc>
        <w:tc>
          <w:tcPr>
            <w:tcW w:type="dxa" w:w="2880"/>
          </w:tcPr>
          <w:p>
            <w:r>
              <w:t>20.00</w:t>
            </w:r>
          </w:p>
        </w:tc>
        <w:tc>
          <w:tcPr>
            <w:tcW w:type="dxa" w:w="2880"/>
          </w:tcPr>
          <w:p>
            <w:r>
              <w:t>18.00</w:t>
            </w:r>
          </w:p>
        </w:tc>
      </w:tr>
      <w:tr>
        <w:tc>
          <w:tcPr>
            <w:tcW w:type="dxa" w:w="2880"/>
          </w:tcPr>
          <w:p>
            <w:r>
              <w:t>Lunch</w:t>
            </w:r>
          </w:p>
        </w:tc>
        <w:tc>
          <w:tcPr>
            <w:tcW w:type="dxa" w:w="2880"/>
          </w:tcPr>
          <w:p>
            <w:r>
              <w:t>25.00</w:t>
            </w:r>
          </w:p>
        </w:tc>
        <w:tc>
          <w:tcPr>
            <w:tcW w:type="dxa" w:w="2880"/>
          </w:tcPr>
          <w:p>
            <w:r>
              <w:t>22.00</w:t>
            </w:r>
          </w:p>
        </w:tc>
      </w:tr>
      <w:tr>
        <w:tc>
          <w:tcPr>
            <w:tcW w:type="dxa" w:w="2880"/>
          </w:tcPr>
          <w:p>
            <w:r>
              <w:t>Dinner</w:t>
            </w:r>
          </w:p>
        </w:tc>
        <w:tc>
          <w:tcPr>
            <w:tcW w:type="dxa" w:w="2880"/>
          </w:tcPr>
          <w:p>
            <w:r>
              <w:t>45.00</w:t>
            </w:r>
          </w:p>
        </w:tc>
        <w:tc>
          <w:tcPr>
            <w:tcW w:type="dxa" w:w="2880"/>
          </w:tcPr>
          <w:p>
            <w:r>
              <w:t>40.00</w:t>
            </w:r>
          </w:p>
        </w:tc>
      </w:tr>
      <w:tr>
        <w:tc>
          <w:tcPr>
            <w:tcW w:type="dxa" w:w="2880"/>
          </w:tcPr>
          <w:p>
            <w:r>
              <w:t>Full day total</w:t>
            </w:r>
          </w:p>
        </w:tc>
        <w:tc>
          <w:tcPr>
            <w:tcW w:type="dxa" w:w="2880"/>
          </w:tcPr>
          <w:p>
            <w:r>
              <w:t>90.00</w:t>
            </w:r>
          </w:p>
        </w:tc>
        <w:tc>
          <w:tcPr>
            <w:tcW w:type="dxa" w:w="2880"/>
          </w:tcPr>
          <w:p>
            <w:r>
              <w:t>80.00</w:t>
            </w:r>
          </w:p>
        </w:tc>
      </w:tr>
      <w:tr>
        <w:tc>
          <w:tcPr>
            <w:tcW w:type="dxa" w:w="2880"/>
          </w:tcPr>
          <w:p>
            <w:r>
              <w:t>Incidentals per day</w:t>
            </w:r>
          </w:p>
        </w:tc>
        <w:tc>
          <w:tcPr>
            <w:tcW w:type="dxa" w:w="2880"/>
          </w:tcPr>
          <w:p>
            <w:r>
              <w:t>10.00</w:t>
            </w:r>
          </w:p>
        </w:tc>
        <w:tc>
          <w:tcPr>
            <w:tcW w:type="dxa" w:w="2880"/>
          </w:tcPr>
          <w:p>
            <w:r>
              <w:t>8.00</w:t>
            </w:r>
          </w:p>
        </w:tc>
      </w:tr>
    </w:tbl>
    <w:p/>
    <w:p>
      <w:r>
        <w:t>Employees travelling on the first and last day of a trip receive 75 percent of the full day total. Alcohol is not reimbursable, except at client events pre-approved by a Director.</w:t>
      </w:r>
    </w:p>
    <w:p>
      <w:pPr>
        <w:pStyle w:val="Heading1"/>
      </w:pPr>
      <w:r>
        <w:t>4. Accommodation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Location</w:t>
            </w:r>
          </w:p>
        </w:tc>
        <w:tc>
          <w:tcPr>
            <w:tcW w:type="dxa" w:w="4320"/>
          </w:tcPr>
          <w:p>
            <w:r/>
            <w:r>
              <w:rPr>
                <w:b/>
              </w:rPr>
              <w:t>Nightly maximum before taxes</w:t>
            </w:r>
          </w:p>
        </w:tc>
      </w:tr>
      <w:tr>
        <w:tc>
          <w:tcPr>
            <w:tcW w:type="dxa" w:w="4320"/>
          </w:tcPr>
          <w:p>
            <w:r>
              <w:t>Toronto</w:t>
            </w:r>
          </w:p>
        </w:tc>
        <w:tc>
          <w:tcPr>
            <w:tcW w:type="dxa" w:w="4320"/>
          </w:tcPr>
          <w:p>
            <w:r>
              <w:t>CAD 275</w:t>
            </w:r>
          </w:p>
        </w:tc>
      </w:tr>
      <w:tr>
        <w:tc>
          <w:tcPr>
            <w:tcW w:type="dxa" w:w="4320"/>
          </w:tcPr>
          <w:p>
            <w:r>
              <w:t>Other Ontario locations</w:t>
            </w:r>
          </w:p>
        </w:tc>
        <w:tc>
          <w:tcPr>
            <w:tcW w:type="dxa" w:w="4320"/>
          </w:tcPr>
          <w:p>
            <w:r>
              <w:t>CAD 200</w:t>
            </w:r>
          </w:p>
        </w:tc>
      </w:tr>
      <w:tr>
        <w:tc>
          <w:tcPr>
            <w:tcW w:type="dxa" w:w="4320"/>
          </w:tcPr>
          <w:p>
            <w:r>
              <w:t>New York City</w:t>
            </w:r>
          </w:p>
        </w:tc>
        <w:tc>
          <w:tcPr>
            <w:tcW w:type="dxa" w:w="4320"/>
          </w:tcPr>
          <w:p>
            <w:r>
              <w:t>USD 350</w:t>
            </w:r>
          </w:p>
        </w:tc>
      </w:tr>
      <w:tr>
        <w:tc>
          <w:tcPr>
            <w:tcW w:type="dxa" w:w="4320"/>
          </w:tcPr>
          <w:p>
            <w:r>
              <w:t>Other US locations</w:t>
            </w:r>
          </w:p>
        </w:tc>
        <w:tc>
          <w:tcPr>
            <w:tcW w:type="dxa" w:w="4320"/>
          </w:tcPr>
          <w:p>
            <w:r>
              <w:t>USD 225</w:t>
            </w:r>
          </w:p>
        </w:tc>
      </w:tr>
    </w:tbl>
    <w:p/>
    <w:p>
      <w:r>
        <w:t>Rooms above the nightly maximum require written approval from a Director before booking.</w:t>
      </w:r>
    </w:p>
    <w:p>
      <w:pPr>
        <w:pStyle w:val="Heading1"/>
      </w:pPr>
      <w:r>
        <w:t>5. Transportation</w:t>
      </w:r>
    </w:p>
    <w:p>
      <w:pPr>
        <w:pStyle w:val="Heading2"/>
      </w:pPr>
      <w:r>
        <w:t>5.1 Air and rail</w:t>
      </w:r>
    </w:p>
    <w:p>
      <w:r>
        <w:t>Book economy class through the Harbourline travel desk at least 14 days before travel where possible. Business class is permitted only for flights longer than 6 hours and requires VP approval.</w:t>
      </w:r>
    </w:p>
    <w:p>
      <w:pPr>
        <w:pStyle w:val="Heading2"/>
      </w:pPr>
      <w:r>
        <w:t>5.2 Personal vehicle mileage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Jurisdiction</w:t>
            </w:r>
          </w:p>
        </w:tc>
        <w:tc>
          <w:tcPr>
            <w:tcW w:type="dxa" w:w="4320"/>
          </w:tcPr>
          <w:p>
            <w:r/>
            <w:r>
              <w:rPr>
                <w:b/>
              </w:rPr>
              <w:t>Mileage rate</w:t>
            </w:r>
          </w:p>
        </w:tc>
      </w:tr>
      <w:tr>
        <w:tc>
          <w:tcPr>
            <w:tcW w:type="dxa" w:w="4320"/>
          </w:tcPr>
          <w:p>
            <w:r>
              <w:t>Ontario</w:t>
            </w:r>
          </w:p>
        </w:tc>
        <w:tc>
          <w:tcPr>
            <w:tcW w:type="dxa" w:w="4320"/>
          </w:tcPr>
          <w:p>
            <w:r>
              <w:t>CAD 0.72 per kilometre</w:t>
            </w:r>
          </w:p>
        </w:tc>
      </w:tr>
      <w:tr>
        <w:tc>
          <w:tcPr>
            <w:tcW w:type="dxa" w:w="4320"/>
          </w:tcPr>
          <w:p>
            <w:r>
              <w:t>New York and Ohio</w:t>
            </w:r>
          </w:p>
        </w:tc>
        <w:tc>
          <w:tcPr>
            <w:tcW w:type="dxa" w:w="4320"/>
          </w:tcPr>
          <w:p>
            <w:r>
              <w:t>USD 0.70 per mile</w:t>
            </w:r>
          </w:p>
        </w:tc>
      </w:tr>
    </w:tbl>
    <w:p/>
    <w:p>
      <w:r>
        <w:t>Mileage is paid for business distance only. Deduct your normal commute distance. Mileage claims must include the date, start and end locations, purpose and distance.</w:t>
      </w:r>
    </w:p>
    <w:p>
      <w:pPr>
        <w:pStyle w:val="Heading2"/>
      </w:pPr>
      <w:r>
        <w:t>5.3 Fleet vehicles</w:t>
      </w:r>
    </w:p>
    <w:p>
      <w:r>
        <w:t>When a Harbourline fleet vehicle is available, it must be used instead of a personal vehicle for trips longer than 200 kilometres (125 miles).</w:t>
      </w:r>
    </w:p>
    <w:p>
      <w:pPr>
        <w:pStyle w:val="Heading1"/>
      </w:pPr>
      <w:r>
        <w:t>6. Receipts</w:t>
      </w:r>
    </w:p>
    <w:p>
      <w:pPr>
        <w:pStyle w:val="ListBullet"/>
      </w:pPr>
      <w:r>
        <w:t>An original or photographed receipt is required for every expense of CAD 25 or more (Ontario) or USD 25 or more (New York and Ohio).</w:t>
      </w:r>
    </w:p>
    <w:p>
      <w:pPr>
        <w:pStyle w:val="ListBullet"/>
      </w:pPr>
      <w:r>
        <w:t>An itemized receipt is required for any single meal of CAD 75 or more or USD 75 or more, together with the names of all attendees.</w:t>
      </w:r>
    </w:p>
    <w:p>
      <w:pPr>
        <w:pStyle w:val="ListBullet"/>
      </w:pPr>
      <w:r>
        <w:t>Credit card slips alone are not accepted as receipts.</w:t>
      </w:r>
    </w:p>
    <w:p>
      <w:pPr>
        <w:pStyle w:val="ListBullet"/>
      </w:pPr>
      <w:r>
        <w:t>A missing receipt declaration may be used once per quarter for an expense below CAD 100 or USD 100.</w:t>
      </w:r>
    </w:p>
    <w:p>
      <w:pPr>
        <w:pStyle w:val="Heading1"/>
      </w:pPr>
      <w:r>
        <w:t>7. Submission deadlines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Rule</w:t>
            </w:r>
          </w:p>
        </w:tc>
        <w:tc>
          <w:tcPr>
            <w:tcW w:type="dxa" w:w="4320"/>
          </w:tcPr>
          <w:p>
            <w:r/>
            <w:r>
              <w:rPr>
                <w:b/>
              </w:rPr>
              <w:t>Deadline</w:t>
            </w:r>
          </w:p>
        </w:tc>
      </w:tr>
      <w:tr>
        <w:tc>
          <w:tcPr>
            <w:tcW w:type="dxa" w:w="4320"/>
          </w:tcPr>
          <w:p>
            <w:r>
              <w:t>Submit expense claims in Workday</w:t>
            </w:r>
          </w:p>
        </w:tc>
        <w:tc>
          <w:tcPr>
            <w:tcW w:type="dxa" w:w="4320"/>
          </w:tcPr>
          <w:p>
            <w:r>
              <w:t>Within 30 days of the expense date</w:t>
            </w:r>
          </w:p>
        </w:tc>
      </w:tr>
      <w:tr>
        <w:tc>
          <w:tcPr>
            <w:tcW w:type="dxa" w:w="4320"/>
          </w:tcPr>
          <w:p>
            <w:r>
              <w:t>Late claims</w:t>
            </w:r>
          </w:p>
        </w:tc>
        <w:tc>
          <w:tcPr>
            <w:tcW w:type="dxa" w:w="4320"/>
          </w:tcPr>
          <w:p>
            <w:r>
              <w:t>Claims 31 to 90 days old require Director approval</w:t>
            </w:r>
          </w:p>
        </w:tc>
      </w:tr>
      <w:tr>
        <w:tc>
          <w:tcPr>
            <w:tcW w:type="dxa" w:w="4320"/>
          </w:tcPr>
          <w:p>
            <w:r>
              <w:t>Very late claims</w:t>
            </w:r>
          </w:p>
        </w:tc>
        <w:tc>
          <w:tcPr>
            <w:tcW w:type="dxa" w:w="4320"/>
          </w:tcPr>
          <w:p>
            <w:r>
              <w:t>Claims older than 90 days are not reimbursed unless approved by a VP</w:t>
            </w:r>
          </w:p>
        </w:tc>
      </w:tr>
      <w:tr>
        <w:tc>
          <w:tcPr>
            <w:tcW w:type="dxa" w:w="4320"/>
          </w:tcPr>
          <w:p>
            <w:r>
              <w:t>Fiscal year end</w:t>
            </w:r>
          </w:p>
        </w:tc>
        <w:tc>
          <w:tcPr>
            <w:tcW w:type="dxa" w:w="4320"/>
          </w:tcPr>
          <w:p>
            <w:r>
              <w:t>All expenses dated in December must be submitted by January 10</w:t>
            </w:r>
          </w:p>
        </w:tc>
      </w:tr>
      <w:tr>
        <w:tc>
          <w:tcPr>
            <w:tcW w:type="dxa" w:w="4320"/>
          </w:tcPr>
          <w:p>
            <w:r>
              <w:t>Reimbursement</w:t>
            </w:r>
          </w:p>
        </w:tc>
        <w:tc>
          <w:tcPr>
            <w:tcW w:type="dxa" w:w="4320"/>
          </w:tcPr>
          <w:p>
            <w:r>
              <w:t>Paid by direct deposit within 10 business days of final approval</w:t>
            </w:r>
          </w:p>
        </w:tc>
      </w:tr>
    </w:tbl>
    <w:p/>
    <w:p>
      <w:pPr>
        <w:pStyle w:val="Heading1"/>
      </w:pPr>
      <w:r>
        <w:t>8. Non-reimbursable expenses</w:t>
      </w:r>
    </w:p>
    <w:p>
      <w:pPr>
        <w:pStyle w:val="ListBullet"/>
      </w:pPr>
      <w:r>
        <w:t>Personal entertainment, including in-room movies and minibar charges.</w:t>
      </w:r>
    </w:p>
    <w:p>
      <w:pPr>
        <w:pStyle w:val="ListBullet"/>
      </w:pPr>
      <w:r>
        <w:t>Traffic and parking fines.</w:t>
      </w:r>
    </w:p>
    <w:p>
      <w:pPr>
        <w:pStyle w:val="ListBullet"/>
      </w:pPr>
      <w:r>
        <w:t>Upgrades to air, rail, hotel or car rental without approval.</w:t>
      </w:r>
    </w:p>
    <w:p>
      <w:pPr>
        <w:pStyle w:val="ListBullet"/>
      </w:pPr>
      <w:r>
        <w:t>Gifts to public officials or regulator staff.</w:t>
      </w:r>
    </w:p>
    <w:p>
      <w:pPr>
        <w:pStyle w:val="ListBullet"/>
      </w:pPr>
      <w:r>
        <w:t>Membership fees for personal clubs.</w:t>
      </w:r>
    </w:p>
    <w:p>
      <w:pPr>
        <w:pStyle w:val="Heading1"/>
      </w:pPr>
      <w:r>
        <w:t>9. Approval of expense claims</w:t>
      </w:r>
    </w:p>
    <w:p>
      <w:r>
        <w:t>Expense claims are approved by the employee's direct manager. Claims submitted by a VP are approved by the CFO, and claims submitted by the CFO are approved by the CEO. No one may approve their own expenses. Corporate card spending follows the Corporate Card Guidelines, and purchasing authority follows the Approval Matrix.</w:t>
      </w:r>
    </w:p>
    <w:p>
      <w:pPr>
        <w:pStyle w:val="Heading1"/>
      </w:pPr>
      <w:r>
        <w:t>10. Policy exceptions</w:t>
      </w:r>
    </w:p>
    <w:p>
      <w:r>
        <w:t>Exceptions must be requested in writing before the expense is incurred. Violations of this policy may result in the claim being denied, repayment of amounts already paid, and disciplinary action.</w:t>
      </w:r>
    </w:p>
    <w:p>
      <w:pPr>
        <w:pStyle w:val="Heading1"/>
      </w:pPr>
      <w:r>
        <w:t>Revision history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Change</w:t>
            </w:r>
          </w:p>
        </w:tc>
      </w:tr>
      <w:tr>
        <w:tc>
          <w:tcPr>
            <w:tcW w:type="dxa" w:w="2160"/>
          </w:tcPr>
          <w:p>
            <w:r>
              <w:t>5.0</w:t>
            </w:r>
          </w:p>
        </w:tc>
        <w:tc>
          <w:tcPr>
            <w:tcW w:type="dxa" w:w="2160"/>
          </w:tcPr>
          <w:p>
            <w:r>
              <w:t>2024-01-15</w:t>
            </w:r>
          </w:p>
        </w:tc>
        <w:tc>
          <w:tcPr>
            <w:tcW w:type="dxa" w:w="2160"/>
          </w:tcPr>
          <w:p>
            <w:r>
              <w:t>Office of the Controller</w:t>
            </w:r>
          </w:p>
        </w:tc>
        <w:tc>
          <w:tcPr>
            <w:tcW w:type="dxa" w:w="2160"/>
          </w:tcPr>
          <w:p>
            <w:r>
              <w:t>Added US per diem rates.</w:t>
            </w:r>
          </w:p>
        </w:tc>
      </w:tr>
      <w:tr>
        <w:tc>
          <w:tcPr>
            <w:tcW w:type="dxa" w:w="2160"/>
          </w:tcPr>
          <w:p>
            <w:r>
              <w:t>5.1</w:t>
            </w:r>
          </w:p>
        </w:tc>
        <w:tc>
          <w:tcPr>
            <w:tcW w:type="dxa" w:w="2160"/>
          </w:tcPr>
          <w:p>
            <w:r>
              <w:t>2024-09-01</w:t>
            </w:r>
          </w:p>
        </w:tc>
        <w:tc>
          <w:tcPr>
            <w:tcW w:type="dxa" w:w="2160"/>
          </w:tcPr>
          <w:p>
            <w:r>
              <w:t>Office of the Controller</w:t>
            </w:r>
          </w:p>
        </w:tc>
        <w:tc>
          <w:tcPr>
            <w:tcW w:type="dxa" w:w="2160"/>
          </w:tcPr>
          <w:p>
            <w:r>
              <w:t>Updated accommodation maximums.</w:t>
            </w:r>
          </w:p>
        </w:tc>
      </w:tr>
      <w:tr>
        <w:tc>
          <w:tcPr>
            <w:tcW w:type="dxa" w:w="2160"/>
          </w:tcPr>
          <w:p>
            <w:r>
              <w:t>6.0</w:t>
            </w:r>
          </w:p>
        </w:tc>
        <w:tc>
          <w:tcPr>
            <w:tcW w:type="dxa" w:w="2160"/>
          </w:tcPr>
          <w:p>
            <w:r>
              <w:t>2025-04-01</w:t>
            </w:r>
          </w:p>
        </w:tc>
        <w:tc>
          <w:tcPr>
            <w:tcW w:type="dxa" w:w="2160"/>
          </w:tcPr>
          <w:p>
            <w:r>
              <w:t>Office of the Controller</w:t>
            </w:r>
          </w:p>
        </w:tc>
        <w:tc>
          <w:tcPr>
            <w:tcW w:type="dxa" w:w="2160"/>
          </w:tcPr>
          <w:p>
            <w:r>
              <w:t>Mileage rates set to CAD 0.72 per km and USD 0.70 per mile; submission deadline set to 30 days.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Policy</dc:title>
  <dc:subject>Reimbursement of business travel and other business expenses</dc:subject>
  <dc:creator>Finance, Office of the Controller</dc:creator>
  <cp:keywords/>
  <dc:description>generated by python-docx</dc:description>
  <cp:lastModifiedBy>Finance, Office of the Controller</cp:lastModifiedBy>
  <cp:revision>1</cp:revision>
  <dcterms:created xsi:type="dcterms:W3CDTF">2025-09-15T09:00:00Z</dcterms:created>
  <dcterms:modified xsi:type="dcterms:W3CDTF">2025-09-15T09:00:00Z</dcterms:modified>
  <cp:category/>
</cp:coreProperties>
</file>