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rPr>
        <w:t>Harbourline Energy Co.</w:t>
      </w:r>
    </w:p>
    <w:p>
      <w:pPr>
        <w:pStyle w:val="Title"/>
      </w:pPr>
      <w:r>
        <w:t>Workplace Harassment and Violence Prevention Policy (Ontario)</w:t>
      </w:r>
    </w:p>
    <w:tbl>
      <w:tblPr>
        <w:tblStyle w:val="TableGrid"/>
        <w:tblW w:type="auto" w:w="0"/>
        <w:tblLook w:firstColumn="1" w:firstRow="1" w:lastColumn="0" w:lastRow="0" w:noHBand="0" w:noVBand="1" w:val="04A0"/>
      </w:tblPr>
      <w:tblGrid>
        <w:gridCol w:w="4873"/>
        <w:gridCol w:w="4873"/>
      </w:tblGrid>
      <w:tr>
        <w:tc>
          <w:tcPr>
            <w:tcW w:type="dxa" w:w="2835"/>
          </w:tcPr>
          <w:p>
            <w:r/>
            <w:r>
              <w:rPr>
                <w:b/>
                <w:sz w:val="19"/>
              </w:rPr>
              <w:t>Field</w:t>
            </w:r>
          </w:p>
        </w:tc>
        <w:tc>
          <w:tcPr>
            <w:tcW w:type="dxa" w:w="6520"/>
          </w:tcPr>
          <w:p>
            <w:r/>
            <w:r>
              <w:rPr>
                <w:b/>
                <w:sz w:val="19"/>
              </w:rPr>
              <w:t>Value</w:t>
            </w:r>
          </w:p>
        </w:tc>
      </w:tr>
      <w:tr>
        <w:tc>
          <w:tcPr>
            <w:tcW w:type="dxa" w:w="2835"/>
          </w:tcPr>
          <w:p>
            <w:r/>
            <w:r>
              <w:rPr>
                <w:sz w:val="19"/>
              </w:rPr>
              <w:t>Document ID</w:t>
            </w:r>
          </w:p>
        </w:tc>
        <w:tc>
          <w:tcPr>
            <w:tcW w:type="dxa" w:w="6520"/>
          </w:tcPr>
          <w:p>
            <w:r/>
            <w:r>
              <w:rPr>
                <w:sz w:val="19"/>
              </w:rPr>
              <w:t>HR-POL-031</w:t>
            </w:r>
          </w:p>
        </w:tc>
      </w:tr>
      <w:tr>
        <w:tc>
          <w:tcPr>
            <w:tcW w:type="dxa" w:w="2835"/>
          </w:tcPr>
          <w:p>
            <w:r/>
            <w:r>
              <w:rPr>
                <w:sz w:val="19"/>
              </w:rPr>
              <w:t>Version</w:t>
            </w:r>
          </w:p>
        </w:tc>
        <w:tc>
          <w:tcPr>
            <w:tcW w:type="dxa" w:w="6520"/>
          </w:tcPr>
          <w:p>
            <w:r/>
            <w:r>
              <w:rPr>
                <w:sz w:val="19"/>
              </w:rPr>
              <w:t>3.2</w:t>
            </w:r>
          </w:p>
        </w:tc>
      </w:tr>
      <w:tr>
        <w:tc>
          <w:tcPr>
            <w:tcW w:type="dxa" w:w="2835"/>
          </w:tcPr>
          <w:p>
            <w:r/>
            <w:r>
              <w:rPr>
                <w:sz w:val="19"/>
              </w:rPr>
              <w:t>Effective date</w:t>
            </w:r>
          </w:p>
        </w:tc>
        <w:tc>
          <w:tcPr>
            <w:tcW w:type="dxa" w:w="6520"/>
          </w:tcPr>
          <w:p>
            <w:r/>
            <w:r>
              <w:rPr>
                <w:sz w:val="19"/>
              </w:rPr>
              <w:t>2025-02-01</w:t>
            </w:r>
          </w:p>
        </w:tc>
      </w:tr>
      <w:tr>
        <w:tc>
          <w:tcPr>
            <w:tcW w:type="dxa" w:w="2835"/>
          </w:tcPr>
          <w:p>
            <w:r/>
            <w:r>
              <w:rPr>
                <w:sz w:val="19"/>
              </w:rPr>
              <w:t>Policy owner</w:t>
            </w:r>
          </w:p>
        </w:tc>
        <w:tc>
          <w:tcPr>
            <w:tcW w:type="dxa" w:w="6520"/>
          </w:tcPr>
          <w:p>
            <w:r/>
            <w:r>
              <w:rPr>
                <w:sz w:val="19"/>
              </w:rPr>
              <w:t>Hamid Qureshi, Director, Employee Relations</w:t>
            </w:r>
          </w:p>
        </w:tc>
      </w:tr>
      <w:tr>
        <w:tc>
          <w:tcPr>
            <w:tcW w:type="dxa" w:w="2835"/>
          </w:tcPr>
          <w:p>
            <w:r/>
            <w:r>
              <w:rPr>
                <w:sz w:val="19"/>
              </w:rPr>
              <w:t>Approved by</w:t>
            </w:r>
          </w:p>
        </w:tc>
        <w:tc>
          <w:tcPr>
            <w:tcW w:type="dxa" w:w="6520"/>
          </w:tcPr>
          <w:p>
            <w:r/>
            <w:r>
              <w:rPr>
                <w:sz w:val="19"/>
              </w:rPr>
              <w:t>Margaret Osei, Vice President, People and Culture</w:t>
            </w:r>
          </w:p>
        </w:tc>
      </w:tr>
      <w:tr>
        <w:tc>
          <w:tcPr>
            <w:tcW w:type="dxa" w:w="2835"/>
          </w:tcPr>
          <w:p>
            <w:r/>
            <w:r>
              <w:rPr>
                <w:sz w:val="19"/>
              </w:rPr>
              <w:t>Applies to</w:t>
            </w:r>
          </w:p>
        </w:tc>
        <w:tc>
          <w:tcPr>
            <w:tcW w:type="dxa" w:w="6520"/>
          </w:tcPr>
          <w:p>
            <w:r/>
            <w:r>
              <w:rPr>
                <w:sz w:val="19"/>
              </w:rPr>
              <w:t>All employees, contractors and visitors at Harbourline workplaces in Ontario</w:t>
            </w:r>
          </w:p>
        </w:tc>
      </w:tr>
      <w:tr>
        <w:tc>
          <w:tcPr>
            <w:tcW w:type="dxa" w:w="2835"/>
          </w:tcPr>
          <w:p>
            <w:r/>
            <w:r>
              <w:rPr>
                <w:sz w:val="19"/>
              </w:rPr>
              <w:t>Next scheduled review</w:t>
            </w:r>
          </w:p>
        </w:tc>
        <w:tc>
          <w:tcPr>
            <w:tcW w:type="dxa" w:w="6520"/>
          </w:tcPr>
          <w:p>
            <w:r/>
            <w:r>
              <w:rPr>
                <w:sz w:val="19"/>
              </w:rPr>
              <w:t>2026-02-01</w:t>
            </w:r>
          </w:p>
        </w:tc>
      </w:tr>
    </w:tbl>
    <w:p/>
    <w:p>
      <w:pPr>
        <w:pStyle w:val="Heading1"/>
      </w:pPr>
      <w:r>
        <w:t>1. Purpose</w:t>
      </w:r>
    </w:p>
    <w:p>
      <w:r>
        <w:t>Harbourline is committed to a workplace free of harassment, sexual harassment and violence. This policy and its supporting program meet the employer obligations for workplace harassment and workplace violence under the Occupational Health and Safety Act (Ontario) (OHSA), including the requirement to have a written policy, a program to implement it, and to review both at least annually.</w:t>
      </w:r>
    </w:p>
    <w:p>
      <w:pPr>
        <w:pStyle w:val="Heading1"/>
      </w:pPr>
      <w:r>
        <w:t>2. Scope</w:t>
      </w:r>
    </w:p>
    <w:p>
      <w:r>
        <w:t>The policy applies to conduct at all Harbourline workplaces in Ontario, including offices, substations, service centres, vehicles, customer premises where employees work, work-related social events, and online communication channels. US employees are covered by the equivalent US Respectful Workplace Policy.</w:t>
      </w:r>
    </w:p>
    <w:p>
      <w:pPr>
        <w:pStyle w:val="Heading1"/>
      </w:pPr>
      <w:r>
        <w:t>3. Definitions</w:t>
      </w:r>
    </w:p>
    <w:tbl>
      <w:tblPr>
        <w:tblStyle w:val="TableGrid"/>
        <w:tblW w:type="auto" w:w="0"/>
        <w:tblLook w:firstColumn="1" w:firstRow="1" w:lastColumn="0" w:lastRow="0" w:noHBand="0" w:noVBand="1" w:val="04A0"/>
      </w:tblPr>
      <w:tblGrid>
        <w:gridCol w:w="4873"/>
        <w:gridCol w:w="4873"/>
      </w:tblGrid>
      <w:tr>
        <w:tc>
          <w:tcPr>
            <w:tcW w:type="dxa" w:w="2551"/>
          </w:tcPr>
          <w:p>
            <w:r/>
            <w:r>
              <w:rPr>
                <w:b/>
                <w:sz w:val="19"/>
              </w:rPr>
              <w:t>Term</w:t>
            </w:r>
          </w:p>
        </w:tc>
        <w:tc>
          <w:tcPr>
            <w:tcW w:type="dxa" w:w="6803"/>
          </w:tcPr>
          <w:p>
            <w:r/>
            <w:r>
              <w:rPr>
                <w:b/>
                <w:sz w:val="19"/>
              </w:rPr>
              <w:t>Meaning</w:t>
            </w:r>
          </w:p>
        </w:tc>
      </w:tr>
      <w:tr>
        <w:tc>
          <w:tcPr>
            <w:tcW w:type="dxa" w:w="2551"/>
          </w:tcPr>
          <w:p>
            <w:r/>
            <w:r>
              <w:rPr>
                <w:sz w:val="19"/>
              </w:rPr>
              <w:t>Workplace harassment</w:t>
            </w:r>
          </w:p>
        </w:tc>
        <w:tc>
          <w:tcPr>
            <w:tcW w:type="dxa" w:w="6803"/>
          </w:tcPr>
          <w:p>
            <w:r/>
            <w:r>
              <w:rPr>
                <w:sz w:val="19"/>
              </w:rPr>
              <w:t>A course of vexatious comment or conduct against a worker that is known or ought reasonably to be known to be unwelcome, including workplace sexual harassment.</w:t>
            </w:r>
          </w:p>
        </w:tc>
      </w:tr>
      <w:tr>
        <w:tc>
          <w:tcPr>
            <w:tcW w:type="dxa" w:w="2551"/>
          </w:tcPr>
          <w:p>
            <w:r/>
            <w:r>
              <w:rPr>
                <w:sz w:val="19"/>
              </w:rPr>
              <w:t>Workplace violence</w:t>
            </w:r>
          </w:p>
        </w:tc>
        <w:tc>
          <w:tcPr>
            <w:tcW w:type="dxa" w:w="6803"/>
          </w:tcPr>
          <w:p>
            <w:r/>
            <w:r>
              <w:rPr>
                <w:sz w:val="19"/>
              </w:rPr>
              <w:t>The exercise, attempt or threat of physical force against a worker that causes or could cause physical injury.</w:t>
            </w:r>
          </w:p>
        </w:tc>
      </w:tr>
      <w:tr>
        <w:tc>
          <w:tcPr>
            <w:tcW w:type="dxa" w:w="2551"/>
          </w:tcPr>
          <w:p>
            <w:r/>
            <w:r>
              <w:rPr>
                <w:sz w:val="19"/>
              </w:rPr>
              <w:t>Reasonable management action</w:t>
            </w:r>
          </w:p>
        </w:tc>
        <w:tc>
          <w:tcPr>
            <w:tcW w:type="dxa" w:w="6803"/>
          </w:tcPr>
          <w:p>
            <w:r/>
            <w:r>
              <w:rPr>
                <w:sz w:val="19"/>
              </w:rPr>
              <w:t>Normal supervision such as assigning work, performance feedback and discipline. It is not harassment.</w:t>
            </w:r>
          </w:p>
        </w:tc>
      </w:tr>
      <w:tr>
        <w:tc>
          <w:tcPr>
            <w:tcW w:type="dxa" w:w="2551"/>
          </w:tcPr>
          <w:p>
            <w:r/>
            <w:r>
              <w:rPr>
                <w:sz w:val="19"/>
              </w:rPr>
              <w:t>Workplace Harassment Officer</w:t>
            </w:r>
          </w:p>
        </w:tc>
        <w:tc>
          <w:tcPr>
            <w:tcW w:type="dxa" w:w="6803"/>
          </w:tcPr>
          <w:p>
            <w:r/>
            <w:r>
              <w:rPr>
                <w:sz w:val="19"/>
              </w:rPr>
              <w:t>The person designated to receive and oversee complaints: Denise Achterberg, Employee Relations.</w:t>
            </w:r>
          </w:p>
        </w:tc>
      </w:tr>
    </w:tbl>
    <w:p/>
    <w:p>
      <w:pPr>
        <w:pStyle w:val="Heading1"/>
      </w:pPr>
      <w:r>
        <w:t>4. Policy Statements</w:t>
      </w:r>
    </w:p>
    <w:p>
      <w:pPr>
        <w:pStyle w:val="ListBullet"/>
      </w:pPr>
      <w:r>
        <w:t>Harassment and violence by or against any worker are prohibited.</w:t>
      </w:r>
    </w:p>
    <w:p>
      <w:pPr>
        <w:pStyle w:val="ListBullet"/>
      </w:pPr>
      <w:r>
        <w:t>Complaints are investigated in a manner appropriate in the circumstances.</w:t>
      </w:r>
    </w:p>
    <w:p>
      <w:pPr>
        <w:pStyle w:val="ListBullet"/>
      </w:pPr>
      <w:r>
        <w:t>Information about a complaint is kept confidential except where disclosure is needed to investigate, take corrective action, or is required by law.</w:t>
      </w:r>
    </w:p>
    <w:p>
      <w:pPr>
        <w:pStyle w:val="ListBullet"/>
      </w:pPr>
      <w:r>
        <w:t>Reprisal against anyone who makes a complaint or participates in an investigation is prohibited.</w:t>
      </w:r>
    </w:p>
    <w:p>
      <w:pPr>
        <w:pStyle w:val="ListBullet"/>
      </w:pPr>
      <w:r>
        <w:t>Workers may refuse work where workplace violence is likely to endanger them, following the OHSA work refusal process.</w:t>
      </w:r>
    </w:p>
    <w:p>
      <w:pPr>
        <w:pStyle w:val="Heading1"/>
      </w:pPr>
      <w:r>
        <w:t>5. Procedures</w:t>
      </w:r>
    </w:p>
    <w:p>
      <w:pPr>
        <w:pStyle w:val="Heading2"/>
      </w:pPr>
      <w:r>
        <w:t>5.1 Reporting</w:t>
      </w:r>
    </w:p>
    <w:p>
      <w:r>
        <w:t>Workers report incidents to their supervisor, to the Workplace Harassment Officer, or through the Ethics Hotline (1-888-555-0142). If the supervisor is the alleged harasser, the report goes directly to the Workplace Harassment Officer. Emergencies involving violence are reported to 911 first.</w:t>
      </w:r>
    </w:p>
    <w:p>
      <w:pPr>
        <w:pStyle w:val="Heading2"/>
      </w:pPr>
      <w:r>
        <w:t>5.2 Investigation timelines</w:t>
      </w:r>
    </w:p>
    <w:tbl>
      <w:tblPr>
        <w:tblStyle w:val="TableGrid"/>
        <w:tblW w:type="auto" w:w="0"/>
        <w:tblLook w:firstColumn="1" w:firstRow="1" w:lastColumn="0" w:lastRow="0" w:noHBand="0" w:noVBand="1" w:val="04A0"/>
      </w:tblPr>
      <w:tblGrid>
        <w:gridCol w:w="4873"/>
        <w:gridCol w:w="4873"/>
      </w:tblGrid>
      <w:tr>
        <w:tc>
          <w:tcPr>
            <w:tcW w:type="dxa" w:w="3969"/>
          </w:tcPr>
          <w:p>
            <w:r/>
            <w:r>
              <w:rPr>
                <w:b/>
                <w:sz w:val="19"/>
              </w:rPr>
              <w:t>Step</w:t>
            </w:r>
          </w:p>
        </w:tc>
        <w:tc>
          <w:tcPr>
            <w:tcW w:type="dxa" w:w="5386"/>
          </w:tcPr>
          <w:p>
            <w:r/>
            <w:r>
              <w:rPr>
                <w:b/>
                <w:sz w:val="19"/>
              </w:rPr>
              <w:t>Harbourline standard</w:t>
            </w:r>
          </w:p>
        </w:tc>
      </w:tr>
      <w:tr>
        <w:tc>
          <w:tcPr>
            <w:tcW w:type="dxa" w:w="3969"/>
          </w:tcPr>
          <w:p>
            <w:r/>
            <w:r>
              <w:rPr>
                <w:sz w:val="19"/>
              </w:rPr>
              <w:t>Acknowledge complaint</w:t>
            </w:r>
          </w:p>
        </w:tc>
        <w:tc>
          <w:tcPr>
            <w:tcW w:type="dxa" w:w="5386"/>
          </w:tcPr>
          <w:p>
            <w:r/>
            <w:r>
              <w:rPr>
                <w:sz w:val="19"/>
              </w:rPr>
              <w:t>Within 2 business days</w:t>
            </w:r>
          </w:p>
        </w:tc>
      </w:tr>
      <w:tr>
        <w:tc>
          <w:tcPr>
            <w:tcW w:type="dxa" w:w="3969"/>
          </w:tcPr>
          <w:p>
            <w:r/>
            <w:r>
              <w:rPr>
                <w:sz w:val="19"/>
              </w:rPr>
              <w:t>Investigation starts</w:t>
            </w:r>
          </w:p>
        </w:tc>
        <w:tc>
          <w:tcPr>
            <w:tcW w:type="dxa" w:w="5386"/>
          </w:tcPr>
          <w:p>
            <w:r/>
            <w:r>
              <w:rPr>
                <w:sz w:val="19"/>
              </w:rPr>
              <w:t>Within 5 business days of the complaint</w:t>
            </w:r>
          </w:p>
        </w:tc>
      </w:tr>
      <w:tr>
        <w:tc>
          <w:tcPr>
            <w:tcW w:type="dxa" w:w="3969"/>
          </w:tcPr>
          <w:p>
            <w:r/>
            <w:r>
              <w:rPr>
                <w:sz w:val="19"/>
              </w:rPr>
              <w:t>Investigation completed</w:t>
            </w:r>
          </w:p>
        </w:tc>
        <w:tc>
          <w:tcPr>
            <w:tcW w:type="dxa" w:w="5386"/>
          </w:tcPr>
          <w:p>
            <w:r/>
            <w:r>
              <w:rPr>
                <w:sz w:val="19"/>
              </w:rPr>
              <w:t>Target of 90 calendar days</w:t>
            </w:r>
          </w:p>
        </w:tc>
      </w:tr>
      <w:tr>
        <w:tc>
          <w:tcPr>
            <w:tcW w:type="dxa" w:w="3969"/>
          </w:tcPr>
          <w:p>
            <w:r/>
            <w:r>
              <w:rPr>
                <w:sz w:val="19"/>
              </w:rPr>
              <w:t>Written results to complainant and respondent</w:t>
            </w:r>
          </w:p>
        </w:tc>
        <w:tc>
          <w:tcPr>
            <w:tcW w:type="dxa" w:w="5386"/>
          </w:tcPr>
          <w:p>
            <w:r/>
            <w:r>
              <w:rPr>
                <w:sz w:val="19"/>
              </w:rPr>
              <w:t>Within 10 business days of the investigation concluding</w:t>
            </w:r>
          </w:p>
        </w:tc>
      </w:tr>
    </w:tbl>
    <w:p/>
    <w:p>
      <w:r>
        <w:t>Where the alleged harasser is a Director or above, an external investigator is appointed.</w:t>
      </w:r>
    </w:p>
    <w:p>
      <w:pPr>
        <w:pStyle w:val="Heading2"/>
      </w:pPr>
      <w:r>
        <w:t>5.3 Training</w:t>
      </w:r>
    </w:p>
    <w:p>
      <w:r>
        <w:t>All Ontario workers complete harassment and violence prevention training within 30 days of hire and a refresher every 2 years. People leaders complete an additional module on receiving complaints.</w:t>
      </w:r>
    </w:p>
    <w:p>
      <w:pPr>
        <w:pStyle w:val="Heading2"/>
      </w:pPr>
      <w:r>
        <w:t>5.4 Risk assessment</w:t>
      </w:r>
    </w:p>
    <w:p>
      <w:r>
        <w:t>A workplace violence risk assessment is performed for each work location at least every 3 years and whenever a site changes significantly. Customer-facing roles, including meter disconnection crews, receive de-escalation training.</w:t>
      </w:r>
    </w:p>
    <w:p>
      <w:pPr>
        <w:pStyle w:val="Heading1"/>
      </w:pPr>
      <w:r>
        <w:t>6. Roles and Responsibilities</w:t>
      </w:r>
    </w:p>
    <w:tbl>
      <w:tblPr>
        <w:tblStyle w:val="TableGrid"/>
        <w:tblW w:type="auto" w:w="0"/>
        <w:tblLook w:firstColumn="1" w:firstRow="1" w:lastColumn="0" w:lastRow="0" w:noHBand="0" w:noVBand="1" w:val="04A0"/>
      </w:tblPr>
      <w:tblGrid>
        <w:gridCol w:w="4873"/>
        <w:gridCol w:w="4873"/>
      </w:tblGrid>
      <w:tr>
        <w:tc>
          <w:tcPr>
            <w:tcW w:type="dxa" w:w="2835"/>
          </w:tcPr>
          <w:p>
            <w:r/>
            <w:r>
              <w:rPr>
                <w:b/>
                <w:sz w:val="19"/>
              </w:rPr>
              <w:t>Role</w:t>
            </w:r>
          </w:p>
        </w:tc>
        <w:tc>
          <w:tcPr>
            <w:tcW w:type="dxa" w:w="6520"/>
          </w:tcPr>
          <w:p>
            <w:r/>
            <w:r>
              <w:rPr>
                <w:b/>
                <w:sz w:val="19"/>
              </w:rPr>
              <w:t>Responsibility</w:t>
            </w:r>
          </w:p>
        </w:tc>
      </w:tr>
      <w:tr>
        <w:tc>
          <w:tcPr>
            <w:tcW w:type="dxa" w:w="2835"/>
          </w:tcPr>
          <w:p>
            <w:r/>
            <w:r>
              <w:rPr>
                <w:sz w:val="19"/>
              </w:rPr>
              <w:t>Workers</w:t>
            </w:r>
          </w:p>
        </w:tc>
        <w:tc>
          <w:tcPr>
            <w:tcW w:type="dxa" w:w="6520"/>
          </w:tcPr>
          <w:p>
            <w:r/>
            <w:r>
              <w:rPr>
                <w:sz w:val="19"/>
              </w:rPr>
              <w:t>Treat others with respect and report incidents.</w:t>
            </w:r>
          </w:p>
        </w:tc>
      </w:tr>
      <w:tr>
        <w:tc>
          <w:tcPr>
            <w:tcW w:type="dxa" w:w="2835"/>
          </w:tcPr>
          <w:p>
            <w:r/>
            <w:r>
              <w:rPr>
                <w:sz w:val="19"/>
              </w:rPr>
              <w:t>Supervisors</w:t>
            </w:r>
          </w:p>
        </w:tc>
        <w:tc>
          <w:tcPr>
            <w:tcW w:type="dxa" w:w="6520"/>
          </w:tcPr>
          <w:p>
            <w:r/>
            <w:r>
              <w:rPr>
                <w:sz w:val="19"/>
              </w:rPr>
              <w:t>Act on reports immediately and protect confidentiality.</w:t>
            </w:r>
          </w:p>
        </w:tc>
      </w:tr>
      <w:tr>
        <w:tc>
          <w:tcPr>
            <w:tcW w:type="dxa" w:w="2835"/>
          </w:tcPr>
          <w:p>
            <w:r/>
            <w:r>
              <w:rPr>
                <w:sz w:val="19"/>
              </w:rPr>
              <w:t>Workplace Harassment Officer</w:t>
            </w:r>
          </w:p>
        </w:tc>
        <w:tc>
          <w:tcPr>
            <w:tcW w:type="dxa" w:w="6520"/>
          </w:tcPr>
          <w:p>
            <w:r/>
            <w:r>
              <w:rPr>
                <w:sz w:val="19"/>
              </w:rPr>
              <w:t>Receives complaints, assigns investigators, tracks outcomes.</w:t>
            </w:r>
          </w:p>
        </w:tc>
      </w:tr>
      <w:tr>
        <w:tc>
          <w:tcPr>
            <w:tcW w:type="dxa" w:w="2835"/>
          </w:tcPr>
          <w:p>
            <w:r/>
            <w:r>
              <w:rPr>
                <w:sz w:val="19"/>
              </w:rPr>
              <w:t>Joint Health and Safety Committee</w:t>
            </w:r>
          </w:p>
        </w:tc>
        <w:tc>
          <w:tcPr>
            <w:tcW w:type="dxa" w:w="6520"/>
          </w:tcPr>
          <w:p>
            <w:r/>
            <w:r>
              <w:rPr>
                <w:sz w:val="19"/>
              </w:rPr>
              <w:t>Is consulted on the policy and program during the annual review.</w:t>
            </w:r>
          </w:p>
        </w:tc>
      </w:tr>
    </w:tbl>
    <w:p/>
    <w:p>
      <w:pPr>
        <w:pStyle w:val="Heading1"/>
      </w:pPr>
      <w:r>
        <w:t>7. Related Documents</w:t>
      </w:r>
    </w:p>
    <w:p>
      <w:pPr>
        <w:pStyle w:val="ListBullet"/>
      </w:pPr>
      <w:r>
        <w:t>Code of Business Conduct (HR-POL-001)</w:t>
      </w:r>
    </w:p>
    <w:p>
      <w:pPr>
        <w:pStyle w:val="ListBullet"/>
      </w:pPr>
      <w:r>
        <w:t>Grievance Procedure (HR-POL-070)</w:t>
      </w:r>
    </w:p>
    <w:p>
      <w:pPr>
        <w:pStyle w:val="ListBullet"/>
      </w:pPr>
      <w:r>
        <w:t>Workplace Accommodation Policy (HR-POL-033)</w:t>
      </w:r>
    </w:p>
    <w:p>
      <w:pPr>
        <w:pStyle w:val="ListBullet"/>
      </w:pPr>
      <w:r>
        <w:t>Workplace Harassment Program, Ontario (HR-PRG-031)</w:t>
      </w:r>
    </w:p>
    <w:p>
      <w:pPr>
        <w:pStyle w:val="Heading1"/>
      </w:pPr>
      <w:r>
        <w:t>8.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1134"/>
          </w:tcPr>
          <w:p>
            <w:r/>
            <w:r>
              <w:rPr>
                <w:b/>
                <w:sz w:val="19"/>
              </w:rPr>
              <w:t>Version</w:t>
            </w:r>
          </w:p>
        </w:tc>
        <w:tc>
          <w:tcPr>
            <w:tcW w:type="dxa" w:w="1587"/>
          </w:tcPr>
          <w:p>
            <w:r/>
            <w:r>
              <w:rPr>
                <w:b/>
                <w:sz w:val="19"/>
              </w:rPr>
              <w:t>Date</w:t>
            </w:r>
          </w:p>
        </w:tc>
        <w:tc>
          <w:tcPr>
            <w:tcW w:type="dxa" w:w="2268"/>
          </w:tcPr>
          <w:p>
            <w:r/>
            <w:r>
              <w:rPr>
                <w:b/>
                <w:sz w:val="19"/>
              </w:rPr>
              <w:t>Author</w:t>
            </w:r>
          </w:p>
        </w:tc>
        <w:tc>
          <w:tcPr>
            <w:tcW w:type="dxa" w:w="4365"/>
          </w:tcPr>
          <w:p>
            <w:r/>
            <w:r>
              <w:rPr>
                <w:b/>
                <w:sz w:val="19"/>
              </w:rPr>
              <w:t>Summary of changes</w:t>
            </w:r>
          </w:p>
        </w:tc>
      </w:tr>
      <w:tr>
        <w:tc>
          <w:tcPr>
            <w:tcW w:type="dxa" w:w="1134"/>
          </w:tcPr>
          <w:p>
            <w:r/>
            <w:r>
              <w:rPr>
                <w:sz w:val="19"/>
              </w:rPr>
              <w:t>3.0</w:t>
            </w:r>
          </w:p>
        </w:tc>
        <w:tc>
          <w:tcPr>
            <w:tcW w:type="dxa" w:w="1587"/>
          </w:tcPr>
          <w:p>
            <w:r/>
            <w:r>
              <w:rPr>
                <w:sz w:val="19"/>
              </w:rPr>
              <w:t>2023-02-01</w:t>
            </w:r>
          </w:p>
        </w:tc>
        <w:tc>
          <w:tcPr>
            <w:tcW w:type="dxa" w:w="2268"/>
          </w:tcPr>
          <w:p>
            <w:r/>
            <w:r>
              <w:rPr>
                <w:sz w:val="19"/>
              </w:rPr>
              <w:t>Hamid Qureshi</w:t>
            </w:r>
          </w:p>
        </w:tc>
        <w:tc>
          <w:tcPr>
            <w:tcW w:type="dxa" w:w="4365"/>
          </w:tcPr>
          <w:p>
            <w:r/>
            <w:r>
              <w:rPr>
                <w:sz w:val="19"/>
              </w:rPr>
              <w:t>Annual review; added virtual workplace channels to scope.</w:t>
            </w:r>
          </w:p>
        </w:tc>
      </w:tr>
      <w:tr>
        <w:tc>
          <w:tcPr>
            <w:tcW w:type="dxa" w:w="1134"/>
          </w:tcPr>
          <w:p>
            <w:r/>
            <w:r>
              <w:rPr>
                <w:sz w:val="19"/>
              </w:rPr>
              <w:t>3.1</w:t>
            </w:r>
          </w:p>
        </w:tc>
        <w:tc>
          <w:tcPr>
            <w:tcW w:type="dxa" w:w="1587"/>
          </w:tcPr>
          <w:p>
            <w:r/>
            <w:r>
              <w:rPr>
                <w:sz w:val="19"/>
              </w:rPr>
              <w:t>2024-02-01</w:t>
            </w:r>
          </w:p>
        </w:tc>
        <w:tc>
          <w:tcPr>
            <w:tcW w:type="dxa" w:w="2268"/>
          </w:tcPr>
          <w:p>
            <w:r/>
            <w:r>
              <w:rPr>
                <w:sz w:val="19"/>
              </w:rPr>
              <w:t>Hamid Qureshi</w:t>
            </w:r>
          </w:p>
        </w:tc>
        <w:tc>
          <w:tcPr>
            <w:tcW w:type="dxa" w:w="4365"/>
          </w:tcPr>
          <w:p>
            <w:r/>
            <w:r>
              <w:rPr>
                <w:sz w:val="19"/>
              </w:rPr>
              <w:t>Annual review; no substantive change.</w:t>
            </w:r>
          </w:p>
        </w:tc>
      </w:tr>
      <w:tr>
        <w:tc>
          <w:tcPr>
            <w:tcW w:type="dxa" w:w="1134"/>
          </w:tcPr>
          <w:p>
            <w:r/>
            <w:r>
              <w:rPr>
                <w:sz w:val="19"/>
              </w:rPr>
              <w:t>3.2</w:t>
            </w:r>
          </w:p>
        </w:tc>
        <w:tc>
          <w:tcPr>
            <w:tcW w:type="dxa" w:w="1587"/>
          </w:tcPr>
          <w:p>
            <w:r/>
            <w:r>
              <w:rPr>
                <w:sz w:val="19"/>
              </w:rPr>
              <w:t>2025-02-01</w:t>
            </w:r>
          </w:p>
        </w:tc>
        <w:tc>
          <w:tcPr>
            <w:tcW w:type="dxa" w:w="2268"/>
          </w:tcPr>
          <w:p>
            <w:r/>
            <w:r>
              <w:rPr>
                <w:sz w:val="19"/>
              </w:rPr>
              <w:t>Denise Achterberg</w:t>
            </w:r>
          </w:p>
        </w:tc>
        <w:tc>
          <w:tcPr>
            <w:tcW w:type="dxa" w:w="4365"/>
          </w:tcPr>
          <w:p>
            <w:r/>
            <w:r>
              <w:rPr>
                <w:sz w:val="19"/>
              </w:rPr>
              <w:t>Annual review; investigation start moved from 10 to 5 business days.</w:t>
            </w:r>
          </w:p>
        </w:tc>
      </w:tr>
    </w:tbl>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Printed copies are uncontrolled. The current version is maintained in the Harbourline Hub HR-Policies library.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Harbourline Energy Co.  |  HR-POL-031  |  Version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Workplace Harassment and Violence Prevention Policy (Ontario)</dc:title>
  <dc:subject>Human Resources policy</dc:subject>
  <dc:creator>Harbourline Human Resources</dc:creator>
  <cp:keywords>Harbourline; HR; policy</cp:keywords>
  <dc:description/>
  <cp:lastModifiedBy>Harbourline Human Resources</cp:lastModifiedBy>
  <cp:revision>1</cp:revision>
  <dcterms:created xsi:type="dcterms:W3CDTF">2025-06-01T09:00:00Z</dcterms:created>
  <dcterms:modified xsi:type="dcterms:W3CDTF">2025-06-01T09:00:00Z</dcterms:modified>
  <cp:category>Policy</cp:category>
  <cp:lastPrinted>2025-06-01T09:00:00Z</cp:lastPrinted>
</cp:coreProperties>
</file>