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rPr>
        <w:t>Harbourline Energy Co.</w:t>
      </w:r>
    </w:p>
    <w:p>
      <w:pPr>
        <w:pStyle w:val="Title"/>
      </w:pPr>
      <w:r>
        <w:t>Business Travel Policy</w:t>
      </w:r>
    </w:p>
    <w:tbl>
      <w:tblPr>
        <w:tblStyle w:val="TableGrid"/>
        <w:tblW w:type="auto" w:w="0"/>
        <w:tblLook w:firstColumn="1" w:firstRow="1" w:lastColumn="0" w:lastRow="0" w:noHBand="0" w:noVBand="1" w:val="04A0"/>
      </w:tblPr>
      <w:tblGrid>
        <w:gridCol w:w="4873"/>
        <w:gridCol w:w="4873"/>
      </w:tblGrid>
      <w:tr>
        <w:tc>
          <w:tcPr>
            <w:tcW w:type="dxa" w:w="2835"/>
          </w:tcPr>
          <w:p>
            <w:r/>
            <w:r>
              <w:rPr>
                <w:b/>
                <w:sz w:val="19"/>
              </w:rPr>
              <w:t>Field</w:t>
            </w:r>
          </w:p>
        </w:tc>
        <w:tc>
          <w:tcPr>
            <w:tcW w:type="dxa" w:w="6520"/>
          </w:tcPr>
          <w:p>
            <w:r/>
            <w:r>
              <w:rPr>
                <w:b/>
                <w:sz w:val="19"/>
              </w:rPr>
              <w:t>Value</w:t>
            </w:r>
          </w:p>
        </w:tc>
      </w:tr>
      <w:tr>
        <w:tc>
          <w:tcPr>
            <w:tcW w:type="dxa" w:w="2835"/>
          </w:tcPr>
          <w:p>
            <w:r/>
            <w:r>
              <w:rPr>
                <w:sz w:val="19"/>
              </w:rPr>
              <w:t>Document ID</w:t>
            </w:r>
          </w:p>
        </w:tc>
        <w:tc>
          <w:tcPr>
            <w:tcW w:type="dxa" w:w="6520"/>
          </w:tcPr>
          <w:p>
            <w:r/>
            <w:r>
              <w:rPr>
                <w:sz w:val="19"/>
              </w:rPr>
              <w:t>HR-POL-050</w:t>
            </w:r>
          </w:p>
        </w:tc>
      </w:tr>
      <w:tr>
        <w:tc>
          <w:tcPr>
            <w:tcW w:type="dxa" w:w="2835"/>
          </w:tcPr>
          <w:p>
            <w:r/>
            <w:r>
              <w:rPr>
                <w:sz w:val="19"/>
              </w:rPr>
              <w:t>Version</w:t>
            </w:r>
          </w:p>
        </w:tc>
        <w:tc>
          <w:tcPr>
            <w:tcW w:type="dxa" w:w="6520"/>
          </w:tcPr>
          <w:p>
            <w:r/>
            <w:r>
              <w:rPr>
                <w:sz w:val="19"/>
              </w:rPr>
              <w:t>3.0</w:t>
            </w:r>
          </w:p>
        </w:tc>
      </w:tr>
      <w:tr>
        <w:tc>
          <w:tcPr>
            <w:tcW w:type="dxa" w:w="2835"/>
          </w:tcPr>
          <w:p>
            <w:r/>
            <w:r>
              <w:rPr>
                <w:sz w:val="19"/>
              </w:rPr>
              <w:t>Effective date</w:t>
            </w:r>
          </w:p>
        </w:tc>
        <w:tc>
          <w:tcPr>
            <w:tcW w:type="dxa" w:w="6520"/>
          </w:tcPr>
          <w:p>
            <w:r/>
            <w:r>
              <w:rPr>
                <w:sz w:val="19"/>
              </w:rPr>
              <w:t>2025-03-01</w:t>
            </w:r>
          </w:p>
        </w:tc>
      </w:tr>
      <w:tr>
        <w:tc>
          <w:tcPr>
            <w:tcW w:type="dxa" w:w="2835"/>
          </w:tcPr>
          <w:p>
            <w:r/>
            <w:r>
              <w:rPr>
                <w:sz w:val="19"/>
              </w:rPr>
              <w:t>Policy owner</w:t>
            </w:r>
          </w:p>
        </w:tc>
        <w:tc>
          <w:tcPr>
            <w:tcW w:type="dxa" w:w="6520"/>
          </w:tcPr>
          <w:p>
            <w:r/>
            <w:r>
              <w:rPr>
                <w:sz w:val="19"/>
              </w:rPr>
              <w:t>Nadia Rahman, Controller</w:t>
            </w:r>
          </w:p>
        </w:tc>
      </w:tr>
      <w:tr>
        <w:tc>
          <w:tcPr>
            <w:tcW w:type="dxa" w:w="2835"/>
          </w:tcPr>
          <w:p>
            <w:r/>
            <w:r>
              <w:rPr>
                <w:sz w:val="19"/>
              </w:rPr>
              <w:t>Approved by</w:t>
            </w:r>
          </w:p>
        </w:tc>
        <w:tc>
          <w:tcPr>
            <w:tcW w:type="dxa" w:w="6520"/>
          </w:tcPr>
          <w:p>
            <w:r/>
            <w:r>
              <w:rPr>
                <w:sz w:val="19"/>
              </w:rPr>
              <w:t>Rajiv Menon, Chief Financial Officer</w:t>
            </w:r>
          </w:p>
        </w:tc>
      </w:tr>
      <w:tr>
        <w:tc>
          <w:tcPr>
            <w:tcW w:type="dxa" w:w="2835"/>
          </w:tcPr>
          <w:p>
            <w:r/>
            <w:r>
              <w:rPr>
                <w:sz w:val="19"/>
              </w:rPr>
              <w:t>Applies to</w:t>
            </w:r>
          </w:p>
        </w:tc>
        <w:tc>
          <w:tcPr>
            <w:tcW w:type="dxa" w:w="6520"/>
          </w:tcPr>
          <w:p>
            <w:r/>
            <w:r>
              <w:rPr>
                <w:sz w:val="19"/>
              </w:rPr>
              <w:t>All Harbourline Energy Co. employees</w:t>
            </w:r>
          </w:p>
        </w:tc>
      </w:tr>
      <w:tr>
        <w:tc>
          <w:tcPr>
            <w:tcW w:type="dxa" w:w="2835"/>
          </w:tcPr>
          <w:p>
            <w:r/>
            <w:r>
              <w:rPr>
                <w:sz w:val="19"/>
              </w:rPr>
              <w:t>Next scheduled review</w:t>
            </w:r>
          </w:p>
        </w:tc>
        <w:tc>
          <w:tcPr>
            <w:tcW w:type="dxa" w:w="6520"/>
          </w:tcPr>
          <w:p>
            <w:r/>
            <w:r>
              <w:rPr>
                <w:sz w:val="19"/>
              </w:rPr>
              <w:t>2026-02-28</w:t>
            </w:r>
          </w:p>
        </w:tc>
      </w:tr>
    </w:tbl>
    <w:p/>
    <w:p>
      <w:pPr>
        <w:pStyle w:val="Heading1"/>
      </w:pPr>
      <w:r>
        <w:t>1. Purpose</w:t>
      </w:r>
    </w:p>
    <w:p>
      <w:r>
        <w:t>This policy sets out how employees plan, book and travel on Harbourline business so that travel is safe, cost effective and consistent with the expectations of our regulators, who review Harbourline's operating costs in rate proceedings. Reimbursement of travel costs is governed by the Expense Policy (HLE-FIN-101); where this policy and HLE-FIN-101 overlap, HLE-FIN-101 governs money matters.</w:t>
      </w:r>
    </w:p>
    <w:p>
      <w:pPr>
        <w:pStyle w:val="Heading1"/>
      </w:pPr>
      <w:r>
        <w:t>2. Scope</w:t>
      </w:r>
    </w:p>
    <w:p>
      <w:r>
        <w:t>The policy applies to all employees travelling on Harbourline business. Storm mutual assistance deployments follow the Storm Restoration Playbook for crew lodging and use this policy and HLE-FIN-101 for reimbursement.</w:t>
      </w:r>
    </w:p>
    <w:p>
      <w:pPr>
        <w:pStyle w:val="Heading1"/>
      </w:pPr>
      <w:r>
        <w:t>3. Definitions</w:t>
      </w:r>
    </w:p>
    <w:tbl>
      <w:tblPr>
        <w:tblStyle w:val="TableGrid"/>
        <w:tblW w:type="auto" w:w="0"/>
        <w:tblLook w:firstColumn="1" w:firstRow="1" w:lastColumn="0" w:lastRow="0" w:noHBand="0" w:noVBand="1" w:val="04A0"/>
      </w:tblPr>
      <w:tblGrid>
        <w:gridCol w:w="4873"/>
        <w:gridCol w:w="4873"/>
      </w:tblGrid>
      <w:tr>
        <w:tc>
          <w:tcPr>
            <w:tcW w:type="dxa" w:w="2268"/>
          </w:tcPr>
          <w:p>
            <w:r/>
            <w:r>
              <w:rPr>
                <w:b/>
                <w:sz w:val="19"/>
              </w:rPr>
              <w:t>Term</w:t>
            </w:r>
          </w:p>
        </w:tc>
        <w:tc>
          <w:tcPr>
            <w:tcW w:type="dxa" w:w="7087"/>
          </w:tcPr>
          <w:p>
            <w:r/>
            <w:r>
              <w:rPr>
                <w:b/>
                <w:sz w:val="19"/>
              </w:rPr>
              <w:t>Meaning</w:t>
            </w:r>
          </w:p>
        </w:tc>
      </w:tr>
      <w:tr>
        <w:tc>
          <w:tcPr>
            <w:tcW w:type="dxa" w:w="2268"/>
          </w:tcPr>
          <w:p>
            <w:r/>
            <w:r>
              <w:rPr>
                <w:sz w:val="19"/>
              </w:rPr>
              <w:t>Travel Desk</w:t>
            </w:r>
          </w:p>
        </w:tc>
        <w:tc>
          <w:tcPr>
            <w:tcW w:type="dxa" w:w="7087"/>
          </w:tcPr>
          <w:p>
            <w:r/>
            <w:r>
              <w:rPr>
                <w:sz w:val="19"/>
              </w:rPr>
              <w:t>Harbourline's contracted travel agency, reachable at travel.harbourline.example.</w:t>
            </w:r>
          </w:p>
        </w:tc>
      </w:tr>
      <w:tr>
        <w:tc>
          <w:tcPr>
            <w:tcW w:type="dxa" w:w="2268"/>
          </w:tcPr>
          <w:p>
            <w:r/>
            <w:r>
              <w:rPr>
                <w:sz w:val="19"/>
              </w:rPr>
              <w:t>Per diem</w:t>
            </w:r>
          </w:p>
        </w:tc>
        <w:tc>
          <w:tcPr>
            <w:tcW w:type="dxa" w:w="7087"/>
          </w:tcPr>
          <w:p>
            <w:r/>
            <w:r>
              <w:rPr>
                <w:sz w:val="19"/>
              </w:rPr>
              <w:t>A daily allowance covering meals and incidental costs. Rates are published in the Expense Policy (HLE-FIN-101).</w:t>
            </w:r>
          </w:p>
        </w:tc>
      </w:tr>
      <w:tr>
        <w:tc>
          <w:tcPr>
            <w:tcW w:type="dxa" w:w="2268"/>
          </w:tcPr>
          <w:p>
            <w:r/>
            <w:r>
              <w:rPr>
                <w:sz w:val="19"/>
              </w:rPr>
              <w:t>Travel day</w:t>
            </w:r>
          </w:p>
        </w:tc>
        <w:tc>
          <w:tcPr>
            <w:tcW w:type="dxa" w:w="7087"/>
          </w:tcPr>
          <w:p>
            <w:r/>
            <w:r>
              <w:rPr>
                <w:sz w:val="19"/>
              </w:rPr>
              <w:t>The day of departure or the day of return on a trip that includes an overnight stay.</w:t>
            </w:r>
          </w:p>
        </w:tc>
      </w:tr>
      <w:tr>
        <w:tc>
          <w:tcPr>
            <w:tcW w:type="dxa" w:w="2268"/>
          </w:tcPr>
          <w:p>
            <w:r/>
            <w:r>
              <w:rPr>
                <w:sz w:val="19"/>
              </w:rPr>
              <w:t>Fleet vehicle</w:t>
            </w:r>
          </w:p>
        </w:tc>
        <w:tc>
          <w:tcPr>
            <w:tcW w:type="dxa" w:w="7087"/>
          </w:tcPr>
          <w:p>
            <w:r/>
            <w:r>
              <w:rPr>
                <w:sz w:val="19"/>
              </w:rPr>
              <w:t>A Harbourline-owned or leased pool vehicle booked through Fleet Services.</w:t>
            </w:r>
          </w:p>
        </w:tc>
      </w:tr>
    </w:tbl>
    <w:p/>
    <w:p>
      <w:pPr>
        <w:pStyle w:val="Heading1"/>
      </w:pPr>
      <w:r>
        <w:t>4. Policy Statements</w:t>
      </w:r>
    </w:p>
    <w:p>
      <w:pPr>
        <w:pStyle w:val="Heading2"/>
      </w:pPr>
      <w:r>
        <w:t>4.1 Booking</w:t>
      </w:r>
    </w:p>
    <w:p>
      <w:r>
        <w:t>Book all air, rail and hotel travel through the Travel Desk at least 14 days before departure. Bookings made outside the Travel Desk are reimbursed only up to the Travel Desk fare.</w:t>
      </w:r>
    </w:p>
    <w:p>
      <w:pPr>
        <w:pStyle w:val="Heading2"/>
      </w:pPr>
      <w:r>
        <w:t>4.2 Air travel</w:t>
      </w:r>
    </w:p>
    <w:p>
      <w:r>
        <w:t>Economy class is the standard for all flights. Business class is permitted only for flights over 6 hours and only with Vice President approval obtained before booking.</w:t>
      </w:r>
    </w:p>
    <w:p>
      <w:pPr>
        <w:pStyle w:val="Heading2"/>
      </w:pPr>
      <w:r>
        <w:t>4.3 Hotel caps (per night, before taxes)</w:t>
      </w:r>
    </w:p>
    <w:tbl>
      <w:tblPr>
        <w:tblStyle w:val="TableGrid"/>
        <w:tblW w:type="auto" w:w="0"/>
        <w:tblLook w:firstColumn="1" w:firstRow="1" w:lastColumn="0" w:lastRow="0" w:noHBand="0" w:noVBand="1" w:val="04A0"/>
      </w:tblPr>
      <w:tblGrid>
        <w:gridCol w:w="4873"/>
        <w:gridCol w:w="4873"/>
      </w:tblGrid>
      <w:tr>
        <w:tc>
          <w:tcPr>
            <w:tcW w:type="dxa" w:w="5102"/>
          </w:tcPr>
          <w:p>
            <w:r/>
            <w:r>
              <w:rPr>
                <w:b/>
                <w:sz w:val="19"/>
              </w:rPr>
              <w:t>Location</w:t>
            </w:r>
          </w:p>
        </w:tc>
        <w:tc>
          <w:tcPr>
            <w:tcW w:type="dxa" w:w="4252"/>
          </w:tcPr>
          <w:p>
            <w:r/>
            <w:r>
              <w:rPr>
                <w:b/>
                <w:sz w:val="19"/>
              </w:rPr>
              <w:t>Nightly cap</w:t>
            </w:r>
          </w:p>
        </w:tc>
      </w:tr>
      <w:tr>
        <w:tc>
          <w:tcPr>
            <w:tcW w:type="dxa" w:w="5102"/>
          </w:tcPr>
          <w:p>
            <w:r/>
            <w:r>
              <w:rPr>
                <w:sz w:val="19"/>
              </w:rPr>
              <w:t>Toronto</w:t>
            </w:r>
          </w:p>
        </w:tc>
        <w:tc>
          <w:tcPr>
            <w:tcW w:type="dxa" w:w="4252"/>
          </w:tcPr>
          <w:p>
            <w:r/>
            <w:r>
              <w:rPr>
                <w:sz w:val="19"/>
              </w:rPr>
              <w:t>CAD 275</w:t>
            </w:r>
          </w:p>
        </w:tc>
      </w:tr>
      <w:tr>
        <w:tc>
          <w:tcPr>
            <w:tcW w:type="dxa" w:w="5102"/>
          </w:tcPr>
          <w:p>
            <w:r/>
            <w:r>
              <w:rPr>
                <w:sz w:val="19"/>
              </w:rPr>
              <w:t>Other Ontario locations</w:t>
            </w:r>
          </w:p>
        </w:tc>
        <w:tc>
          <w:tcPr>
            <w:tcW w:type="dxa" w:w="4252"/>
          </w:tcPr>
          <w:p>
            <w:r/>
            <w:r>
              <w:rPr>
                <w:sz w:val="19"/>
              </w:rPr>
              <w:t>CAD 200</w:t>
            </w:r>
          </w:p>
        </w:tc>
      </w:tr>
      <w:tr>
        <w:tc>
          <w:tcPr>
            <w:tcW w:type="dxa" w:w="5102"/>
          </w:tcPr>
          <w:p>
            <w:r/>
            <w:r>
              <w:rPr>
                <w:sz w:val="19"/>
              </w:rPr>
              <w:t>New York City</w:t>
            </w:r>
          </w:p>
        </w:tc>
        <w:tc>
          <w:tcPr>
            <w:tcW w:type="dxa" w:w="4252"/>
          </w:tcPr>
          <w:p>
            <w:r/>
            <w:r>
              <w:rPr>
                <w:sz w:val="19"/>
              </w:rPr>
              <w:t>USD 350</w:t>
            </w:r>
          </w:p>
        </w:tc>
      </w:tr>
      <w:tr>
        <w:tc>
          <w:tcPr>
            <w:tcW w:type="dxa" w:w="5102"/>
          </w:tcPr>
          <w:p>
            <w:r/>
            <w:r>
              <w:rPr>
                <w:sz w:val="19"/>
              </w:rPr>
              <w:t>Other US locations (including Albany and Ohio)</w:t>
            </w:r>
          </w:p>
        </w:tc>
        <w:tc>
          <w:tcPr>
            <w:tcW w:type="dxa" w:w="4252"/>
          </w:tcPr>
          <w:p>
            <w:r/>
            <w:r>
              <w:rPr>
                <w:sz w:val="19"/>
              </w:rPr>
              <w:t>USD 225</w:t>
            </w:r>
          </w:p>
        </w:tc>
      </w:tr>
    </w:tbl>
    <w:p/>
    <w:p>
      <w:r>
        <w:t>A hotel rate above the cap requires Director approval before booking.</w:t>
      </w:r>
    </w:p>
    <w:p>
      <w:pPr>
        <w:pStyle w:val="Heading2"/>
      </w:pPr>
      <w:r>
        <w:t>4.4 Ground travel</w:t>
      </w:r>
    </w:p>
    <w:tbl>
      <w:tblPr>
        <w:tblStyle w:val="TableGrid"/>
        <w:tblW w:type="auto" w:w="0"/>
        <w:tblLook w:firstColumn="1" w:firstRow="1" w:lastColumn="0" w:lastRow="0" w:noHBand="0" w:noVBand="1" w:val="04A0"/>
      </w:tblPr>
      <w:tblGrid>
        <w:gridCol w:w="4873"/>
        <w:gridCol w:w="4873"/>
      </w:tblGrid>
      <w:tr>
        <w:tc>
          <w:tcPr>
            <w:tcW w:type="dxa" w:w="4535"/>
          </w:tcPr>
          <w:p>
            <w:r/>
            <w:r>
              <w:rPr>
                <w:b/>
                <w:sz w:val="19"/>
              </w:rPr>
              <w:t>Item</w:t>
            </w:r>
          </w:p>
        </w:tc>
        <w:tc>
          <w:tcPr>
            <w:tcW w:type="dxa" w:w="4819"/>
          </w:tcPr>
          <w:p>
            <w:r/>
            <w:r>
              <w:rPr>
                <w:b/>
                <w:sz w:val="19"/>
              </w:rPr>
              <w:t>Rule</w:t>
            </w:r>
          </w:p>
        </w:tc>
      </w:tr>
      <w:tr>
        <w:tc>
          <w:tcPr>
            <w:tcW w:type="dxa" w:w="4535"/>
          </w:tcPr>
          <w:p>
            <w:r/>
            <w:r>
              <w:rPr>
                <w:sz w:val="19"/>
              </w:rPr>
              <w:t>Personal vehicle mileage, Ontario</w:t>
            </w:r>
          </w:p>
        </w:tc>
        <w:tc>
          <w:tcPr>
            <w:tcW w:type="dxa" w:w="4819"/>
          </w:tcPr>
          <w:p>
            <w:r/>
            <w:r>
              <w:rPr>
                <w:sz w:val="19"/>
              </w:rPr>
              <w:t>CAD 0.72 per km</w:t>
            </w:r>
          </w:p>
        </w:tc>
      </w:tr>
      <w:tr>
        <w:tc>
          <w:tcPr>
            <w:tcW w:type="dxa" w:w="4535"/>
          </w:tcPr>
          <w:p>
            <w:r/>
            <w:r>
              <w:rPr>
                <w:sz w:val="19"/>
              </w:rPr>
              <w:t>Personal vehicle mileage, New York and Ohio</w:t>
            </w:r>
          </w:p>
        </w:tc>
        <w:tc>
          <w:tcPr>
            <w:tcW w:type="dxa" w:w="4819"/>
          </w:tcPr>
          <w:p>
            <w:r/>
            <w:r>
              <w:rPr>
                <w:sz w:val="19"/>
              </w:rPr>
              <w:t>USD 0.70 per mile</w:t>
            </w:r>
          </w:p>
        </w:tc>
      </w:tr>
      <w:tr>
        <w:tc>
          <w:tcPr>
            <w:tcW w:type="dxa" w:w="4535"/>
          </w:tcPr>
          <w:p>
            <w:r/>
            <w:r>
              <w:rPr>
                <w:sz w:val="19"/>
              </w:rPr>
              <w:t>Trips over 200 km (125 miles)</w:t>
            </w:r>
          </w:p>
        </w:tc>
        <w:tc>
          <w:tcPr>
            <w:tcW w:type="dxa" w:w="4819"/>
          </w:tcPr>
          <w:p>
            <w:r/>
            <w:r>
              <w:rPr>
                <w:sz w:val="19"/>
              </w:rPr>
              <w:t>Use a fleet vehicle when one is available</w:t>
            </w:r>
          </w:p>
        </w:tc>
      </w:tr>
    </w:tbl>
    <w:p/>
    <w:p>
      <w:pPr>
        <w:pStyle w:val="Heading2"/>
      </w:pPr>
      <w:r>
        <w:t>4.5 Meals and receipts</w:t>
      </w:r>
    </w:p>
    <w:p>
      <w:r>
        <w:t>Meals and incidentals are covered by the per diem rates in HLE-FIN-101. On travel days, 75 percent of the per diem is paid. Receipts are required for any expense of CAD 25 or USD 25 or more. Alcohol is not reimbursable except at approved client or regulator events.</w:t>
      </w:r>
    </w:p>
    <w:p>
      <w:pPr>
        <w:pStyle w:val="Heading2"/>
      </w:pPr>
      <w:r>
        <w:t>4.6 Traveller safety</w:t>
      </w:r>
    </w:p>
    <w:p>
      <w:r>
        <w:t>Travellers register trips through the Travel Desk so that Harbourline can locate them in an emergency. Employees must not drive more than 10 hours in a day on business, and must follow the rest rules in the Overtime, On-Call and Storm Call-Out Policy (HR-POL-038) when travel follows a work shift.</w:t>
      </w:r>
    </w:p>
    <w:p>
      <w:pPr>
        <w:pStyle w:val="Heading1"/>
      </w:pPr>
      <w:r>
        <w:t>5. Procedures</w:t>
      </w:r>
    </w:p>
    <w:p>
      <w:pPr>
        <w:ind w:left="454"/>
      </w:pPr>
      <w:r>
        <w:t>a) Obtain manager approval in the expense system before booking.</w:t>
      </w:r>
    </w:p>
    <w:p>
      <w:pPr>
        <w:ind w:left="454"/>
      </w:pPr>
      <w:r>
        <w:t>b) Book through the Travel Desk at least 14 days ahead; request Director approval first if a hotel exceeds the cap.</w:t>
      </w:r>
    </w:p>
    <w:p>
      <w:pPr>
        <w:ind w:left="454"/>
      </w:pPr>
      <w:r>
        <w:t>c) Book a fleet vehicle through Fleet Services for trips over 200 km (125 miles).</w:t>
      </w:r>
    </w:p>
    <w:p>
      <w:pPr>
        <w:ind w:left="454"/>
      </w:pPr>
      <w:r>
        <w:t>d) Submit the expense claim with receipts under the Expense Policy (HLE-FIN-101) submission rules.</w:t>
      </w:r>
    </w:p>
    <w:p>
      <w:pPr>
        <w:pStyle w:val="Heading1"/>
      </w:pPr>
      <w:r>
        <w:t>6. Roles and Responsibilities</w:t>
      </w:r>
    </w:p>
    <w:tbl>
      <w:tblPr>
        <w:tblStyle w:val="TableGrid"/>
        <w:tblW w:type="auto" w:w="0"/>
        <w:tblLook w:firstColumn="1" w:firstRow="1" w:lastColumn="0" w:lastRow="0" w:noHBand="0" w:noVBand="1" w:val="04A0"/>
      </w:tblPr>
      <w:tblGrid>
        <w:gridCol w:w="4873"/>
        <w:gridCol w:w="4873"/>
      </w:tblGrid>
      <w:tr>
        <w:tc>
          <w:tcPr>
            <w:tcW w:type="dxa" w:w="2551"/>
          </w:tcPr>
          <w:p>
            <w:r/>
            <w:r>
              <w:rPr>
                <w:b/>
                <w:sz w:val="19"/>
              </w:rPr>
              <w:t>Role</w:t>
            </w:r>
          </w:p>
        </w:tc>
        <w:tc>
          <w:tcPr>
            <w:tcW w:type="dxa" w:w="6803"/>
          </w:tcPr>
          <w:p>
            <w:r/>
            <w:r>
              <w:rPr>
                <w:b/>
                <w:sz w:val="19"/>
              </w:rPr>
              <w:t>Responsibility</w:t>
            </w:r>
          </w:p>
        </w:tc>
      </w:tr>
      <w:tr>
        <w:tc>
          <w:tcPr>
            <w:tcW w:type="dxa" w:w="2551"/>
          </w:tcPr>
          <w:p>
            <w:r/>
            <w:r>
              <w:rPr>
                <w:sz w:val="19"/>
              </w:rPr>
              <w:t>Traveller</w:t>
            </w:r>
          </w:p>
        </w:tc>
        <w:tc>
          <w:tcPr>
            <w:tcW w:type="dxa" w:w="6803"/>
          </w:tcPr>
          <w:p>
            <w:r/>
            <w:r>
              <w:rPr>
                <w:sz w:val="19"/>
              </w:rPr>
              <w:t>Books through the Travel Desk, travels safely and submits claims.</w:t>
            </w:r>
          </w:p>
        </w:tc>
      </w:tr>
      <w:tr>
        <w:tc>
          <w:tcPr>
            <w:tcW w:type="dxa" w:w="2551"/>
          </w:tcPr>
          <w:p>
            <w:r/>
            <w:r>
              <w:rPr>
                <w:sz w:val="19"/>
              </w:rPr>
              <w:t>Manager</w:t>
            </w:r>
          </w:p>
        </w:tc>
        <w:tc>
          <w:tcPr>
            <w:tcW w:type="dxa" w:w="6803"/>
          </w:tcPr>
          <w:p>
            <w:r/>
            <w:r>
              <w:rPr>
                <w:sz w:val="19"/>
              </w:rPr>
              <w:t>Approves travel and reviews claims for business purpose.</w:t>
            </w:r>
          </w:p>
        </w:tc>
      </w:tr>
      <w:tr>
        <w:tc>
          <w:tcPr>
            <w:tcW w:type="dxa" w:w="2551"/>
          </w:tcPr>
          <w:p>
            <w:r/>
            <w:r>
              <w:rPr>
                <w:sz w:val="19"/>
              </w:rPr>
              <w:t>Director</w:t>
            </w:r>
          </w:p>
        </w:tc>
        <w:tc>
          <w:tcPr>
            <w:tcW w:type="dxa" w:w="6803"/>
          </w:tcPr>
          <w:p>
            <w:r/>
            <w:r>
              <w:rPr>
                <w:sz w:val="19"/>
              </w:rPr>
              <w:t>Approves hotel rates above the cap before booking.</w:t>
            </w:r>
          </w:p>
        </w:tc>
      </w:tr>
      <w:tr>
        <w:tc>
          <w:tcPr>
            <w:tcW w:type="dxa" w:w="2551"/>
          </w:tcPr>
          <w:p>
            <w:r/>
            <w:r>
              <w:rPr>
                <w:sz w:val="19"/>
              </w:rPr>
              <w:t>Vice President</w:t>
            </w:r>
          </w:p>
        </w:tc>
        <w:tc>
          <w:tcPr>
            <w:tcW w:type="dxa" w:w="6803"/>
          </w:tcPr>
          <w:p>
            <w:r/>
            <w:r>
              <w:rPr>
                <w:sz w:val="19"/>
              </w:rPr>
              <w:t>Approves business class for flights over 6 hours.</w:t>
            </w:r>
          </w:p>
        </w:tc>
      </w:tr>
      <w:tr>
        <w:tc>
          <w:tcPr>
            <w:tcW w:type="dxa" w:w="2551"/>
          </w:tcPr>
          <w:p>
            <w:r/>
            <w:r>
              <w:rPr>
                <w:sz w:val="19"/>
              </w:rPr>
              <w:t>Finance, Accounts Payable</w:t>
            </w:r>
          </w:p>
        </w:tc>
        <w:tc>
          <w:tcPr>
            <w:tcW w:type="dxa" w:w="6803"/>
          </w:tcPr>
          <w:p>
            <w:r/>
            <w:r>
              <w:rPr>
                <w:sz w:val="19"/>
              </w:rPr>
              <w:t>Audits and reimburses claims under HLE-FIN-101.</w:t>
            </w:r>
          </w:p>
        </w:tc>
      </w:tr>
    </w:tbl>
    <w:p/>
    <w:p>
      <w:pPr>
        <w:pStyle w:val="Heading1"/>
      </w:pPr>
      <w:r>
        <w:t>7. Related Documents</w:t>
      </w:r>
    </w:p>
    <w:p>
      <w:pPr>
        <w:pStyle w:val="ListBullet"/>
      </w:pPr>
      <w:r>
        <w:t>Expense Policy (HLE-FIN-101, Harbourline Hub, Finance)</w:t>
      </w:r>
    </w:p>
    <w:p>
      <w:pPr>
        <w:pStyle w:val="ListBullet"/>
      </w:pPr>
      <w:r>
        <w:t>Corporate Card Guidelines (Harbourline Hub, Finance)</w:t>
      </w:r>
    </w:p>
    <w:p>
      <w:pPr>
        <w:pStyle w:val="ListBullet"/>
      </w:pPr>
      <w:r>
        <w:t>Code of Business Conduct (HR-POL-001)</w:t>
      </w:r>
    </w:p>
    <w:p>
      <w:pPr>
        <w:pStyle w:val="ListBullet"/>
      </w:pPr>
      <w:r>
        <w:t>Remote and Hybrid Work Policy (HR-POL-020)</w:t>
      </w:r>
    </w:p>
    <w:p>
      <w:pPr>
        <w:pStyle w:val="Heading1"/>
      </w:pPr>
      <w:r>
        <w:t>8.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1134"/>
          </w:tcPr>
          <w:p>
            <w:r/>
            <w:r>
              <w:rPr>
                <w:b/>
                <w:sz w:val="19"/>
              </w:rPr>
              <w:t>Version</w:t>
            </w:r>
          </w:p>
        </w:tc>
        <w:tc>
          <w:tcPr>
            <w:tcW w:type="dxa" w:w="1587"/>
          </w:tcPr>
          <w:p>
            <w:r/>
            <w:r>
              <w:rPr>
                <w:b/>
                <w:sz w:val="19"/>
              </w:rPr>
              <w:t>Date</w:t>
            </w:r>
          </w:p>
        </w:tc>
        <w:tc>
          <w:tcPr>
            <w:tcW w:type="dxa" w:w="2268"/>
          </w:tcPr>
          <w:p>
            <w:r/>
            <w:r>
              <w:rPr>
                <w:b/>
                <w:sz w:val="19"/>
              </w:rPr>
              <w:t>Author</w:t>
            </w:r>
          </w:p>
        </w:tc>
        <w:tc>
          <w:tcPr>
            <w:tcW w:type="dxa" w:w="4365"/>
          </w:tcPr>
          <w:p>
            <w:r/>
            <w:r>
              <w:rPr>
                <w:b/>
                <w:sz w:val="19"/>
              </w:rPr>
              <w:t>Summary of changes</w:t>
            </w:r>
          </w:p>
        </w:tc>
      </w:tr>
      <w:tr>
        <w:tc>
          <w:tcPr>
            <w:tcW w:type="dxa" w:w="1134"/>
          </w:tcPr>
          <w:p>
            <w:r/>
            <w:r>
              <w:rPr>
                <w:sz w:val="19"/>
              </w:rPr>
              <w:t>2.0</w:t>
            </w:r>
          </w:p>
        </w:tc>
        <w:tc>
          <w:tcPr>
            <w:tcW w:type="dxa" w:w="1587"/>
          </w:tcPr>
          <w:p>
            <w:r/>
            <w:r>
              <w:rPr>
                <w:sz w:val="19"/>
              </w:rPr>
              <w:t>2022-09-01</w:t>
            </w:r>
          </w:p>
        </w:tc>
        <w:tc>
          <w:tcPr>
            <w:tcW w:type="dxa" w:w="2268"/>
          </w:tcPr>
          <w:p>
            <w:r/>
            <w:r>
              <w:rPr>
                <w:sz w:val="19"/>
              </w:rPr>
              <w:t>Finance</w:t>
            </w:r>
          </w:p>
        </w:tc>
        <w:tc>
          <w:tcPr>
            <w:tcW w:type="dxa" w:w="4365"/>
          </w:tcPr>
          <w:p>
            <w:r/>
            <w:r>
              <w:rPr>
                <w:sz w:val="19"/>
              </w:rPr>
              <w:t>Introduced Travel Desk.</w:t>
            </w:r>
          </w:p>
        </w:tc>
      </w:tr>
      <w:tr>
        <w:tc>
          <w:tcPr>
            <w:tcW w:type="dxa" w:w="1134"/>
          </w:tcPr>
          <w:p>
            <w:r/>
            <w:r>
              <w:rPr>
                <w:sz w:val="19"/>
              </w:rPr>
              <w:t>2.1</w:t>
            </w:r>
          </w:p>
        </w:tc>
        <w:tc>
          <w:tcPr>
            <w:tcW w:type="dxa" w:w="1587"/>
          </w:tcPr>
          <w:p>
            <w:r/>
            <w:r>
              <w:rPr>
                <w:sz w:val="19"/>
              </w:rPr>
              <w:t>2024-03-01</w:t>
            </w:r>
          </w:p>
        </w:tc>
        <w:tc>
          <w:tcPr>
            <w:tcW w:type="dxa" w:w="2268"/>
          </w:tcPr>
          <w:p>
            <w:r/>
            <w:r>
              <w:rPr>
                <w:sz w:val="19"/>
              </w:rPr>
              <w:t>Nadia Rahman</w:t>
            </w:r>
          </w:p>
        </w:tc>
        <w:tc>
          <w:tcPr>
            <w:tcW w:type="dxa" w:w="4365"/>
          </w:tcPr>
          <w:p>
            <w:r/>
            <w:r>
              <w:rPr>
                <w:sz w:val="19"/>
              </w:rPr>
              <w:t>Updated hotel caps and mileage rates.</w:t>
            </w:r>
          </w:p>
        </w:tc>
      </w:tr>
      <w:tr>
        <w:tc>
          <w:tcPr>
            <w:tcW w:type="dxa" w:w="1134"/>
          </w:tcPr>
          <w:p>
            <w:r/>
            <w:r>
              <w:rPr>
                <w:sz w:val="19"/>
              </w:rPr>
              <w:t>3.0</w:t>
            </w:r>
          </w:p>
        </w:tc>
        <w:tc>
          <w:tcPr>
            <w:tcW w:type="dxa" w:w="1587"/>
          </w:tcPr>
          <w:p>
            <w:r/>
            <w:r>
              <w:rPr>
                <w:sz w:val="19"/>
              </w:rPr>
              <w:t>2025-03-01</w:t>
            </w:r>
          </w:p>
        </w:tc>
        <w:tc>
          <w:tcPr>
            <w:tcW w:type="dxa" w:w="2268"/>
          </w:tcPr>
          <w:p>
            <w:r/>
            <w:r>
              <w:rPr>
                <w:sz w:val="19"/>
              </w:rPr>
              <w:t>Nadia Rahman</w:t>
            </w:r>
          </w:p>
        </w:tc>
        <w:tc>
          <w:tcPr>
            <w:tcW w:type="dxa" w:w="4365"/>
          </w:tcPr>
          <w:p>
            <w:r/>
            <w:r>
              <w:rPr>
                <w:sz w:val="19"/>
              </w:rPr>
              <w:t>Aligned with Expense Policy HLE-FIN-101; fleet vehicle rule for trips over 200 km; business class only over 6 hours.</w:t>
            </w:r>
          </w:p>
        </w:tc>
      </w:tr>
    </w:tbl>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Printed copies are uncontrolled. The current version is maintained in the Harbourline Hub HR-Policies library.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Harbourline Energy Co.  |  HR-POL-050  |  Version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Travel Policy</dc:title>
  <dc:subject>Human Resources policy</dc:subject>
  <dc:creator>Harbourline Human Resources</dc:creator>
  <cp:keywords>Harbourline; HR; policy</cp:keywords>
  <dc:description/>
  <cp:lastModifiedBy>Harbourline Human Resources</cp:lastModifiedBy>
  <cp:revision>1</cp:revision>
  <dcterms:created xsi:type="dcterms:W3CDTF">2025-06-01T09:00:00Z</dcterms:created>
  <dcterms:modified xsi:type="dcterms:W3CDTF">2025-06-01T09:00:00Z</dcterms:modified>
  <cp:category>Policy</cp:category>
  <cp:lastPrinted>2025-06-01T09:00:00Z</cp:lastPrinted>
</cp:coreProperties>
</file>