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rPr>
        <w:t>Harbourline Energy Co.</w:t>
      </w:r>
    </w:p>
    <w:p>
      <w:pPr>
        <w:pStyle w:val="Title"/>
      </w:pPr>
      <w:r>
        <w:t>Workplace Accommodation Policy</w:t>
      </w:r>
    </w:p>
    <w:tbl>
      <w:tblPr>
        <w:tblStyle w:val="TableGrid"/>
        <w:tblW w:type="auto" w:w="0"/>
        <w:tblLook w:firstColumn="1" w:firstRow="1" w:lastColumn="0" w:lastRow="0" w:noHBand="0" w:noVBand="1" w:val="04A0"/>
      </w:tblPr>
      <w:tblGrid>
        <w:gridCol w:w="4873"/>
        <w:gridCol w:w="4873"/>
      </w:tblGrid>
      <w:tr>
        <w:tc>
          <w:tcPr>
            <w:tcW w:type="dxa" w:w="2835"/>
          </w:tcPr>
          <w:p>
            <w:r/>
            <w:r>
              <w:rPr>
                <w:b/>
                <w:sz w:val="19"/>
              </w:rPr>
              <w:t>Field</w:t>
            </w:r>
          </w:p>
        </w:tc>
        <w:tc>
          <w:tcPr>
            <w:tcW w:type="dxa" w:w="6520"/>
          </w:tcPr>
          <w:p>
            <w:r/>
            <w:r>
              <w:rPr>
                <w:b/>
                <w:sz w:val="19"/>
              </w:rPr>
              <w:t>Value</w:t>
            </w:r>
          </w:p>
        </w:tc>
      </w:tr>
      <w:tr>
        <w:tc>
          <w:tcPr>
            <w:tcW w:type="dxa" w:w="2835"/>
          </w:tcPr>
          <w:p>
            <w:r/>
            <w:r>
              <w:rPr>
                <w:sz w:val="19"/>
              </w:rPr>
              <w:t>Document ID</w:t>
            </w:r>
          </w:p>
        </w:tc>
        <w:tc>
          <w:tcPr>
            <w:tcW w:type="dxa" w:w="6520"/>
          </w:tcPr>
          <w:p>
            <w:r/>
            <w:r>
              <w:rPr>
                <w:sz w:val="19"/>
              </w:rPr>
              <w:t>HR-POL-033</w:t>
            </w:r>
          </w:p>
        </w:tc>
      </w:tr>
      <w:tr>
        <w:tc>
          <w:tcPr>
            <w:tcW w:type="dxa" w:w="2835"/>
          </w:tcPr>
          <w:p>
            <w:r/>
            <w:r>
              <w:rPr>
                <w:sz w:val="19"/>
              </w:rPr>
              <w:t>Version</w:t>
            </w:r>
          </w:p>
        </w:tc>
        <w:tc>
          <w:tcPr>
            <w:tcW w:type="dxa" w:w="6520"/>
          </w:tcPr>
          <w:p>
            <w:r/>
            <w:r>
              <w:rPr>
                <w:sz w:val="19"/>
              </w:rPr>
              <w:t>2.0</w:t>
            </w:r>
          </w:p>
        </w:tc>
      </w:tr>
      <w:tr>
        <w:tc>
          <w:tcPr>
            <w:tcW w:type="dxa" w:w="2835"/>
          </w:tcPr>
          <w:p>
            <w:r/>
            <w:r>
              <w:rPr>
                <w:sz w:val="19"/>
              </w:rPr>
              <w:t>Effective date</w:t>
            </w:r>
          </w:p>
        </w:tc>
        <w:tc>
          <w:tcPr>
            <w:tcW w:type="dxa" w:w="6520"/>
          </w:tcPr>
          <w:p>
            <w:r/>
            <w:r>
              <w:rPr>
                <w:sz w:val="19"/>
              </w:rPr>
              <w:t>2024-10-01</w:t>
            </w:r>
          </w:p>
        </w:tc>
      </w:tr>
      <w:tr>
        <w:tc>
          <w:tcPr>
            <w:tcW w:type="dxa" w:w="2835"/>
          </w:tcPr>
          <w:p>
            <w:r/>
            <w:r>
              <w:rPr>
                <w:sz w:val="19"/>
              </w:rPr>
              <w:t>Policy owner</w:t>
            </w:r>
          </w:p>
        </w:tc>
        <w:tc>
          <w:tcPr>
            <w:tcW w:type="dxa" w:w="6520"/>
          </w:tcPr>
          <w:p>
            <w:r/>
            <w:r>
              <w:rPr>
                <w:sz w:val="19"/>
              </w:rPr>
              <w:t>Hamid Qureshi, Director, Employee Relations</w:t>
            </w:r>
          </w:p>
        </w:tc>
      </w:tr>
      <w:tr>
        <w:tc>
          <w:tcPr>
            <w:tcW w:type="dxa" w:w="2835"/>
          </w:tcPr>
          <w:p>
            <w:r/>
            <w:r>
              <w:rPr>
                <w:sz w:val="19"/>
              </w:rPr>
              <w:t>Approved by</w:t>
            </w:r>
          </w:p>
        </w:tc>
        <w:tc>
          <w:tcPr>
            <w:tcW w:type="dxa" w:w="6520"/>
          </w:tcPr>
          <w:p>
            <w:r/>
            <w:r>
              <w:rPr>
                <w:sz w:val="19"/>
              </w:rPr>
              <w:t>Margaret Osei, Vice President, People and Culture</w:t>
            </w:r>
          </w:p>
        </w:tc>
      </w:tr>
      <w:tr>
        <w:tc>
          <w:tcPr>
            <w:tcW w:type="dxa" w:w="2835"/>
          </w:tcPr>
          <w:p>
            <w:r/>
            <w:r>
              <w:rPr>
                <w:sz w:val="19"/>
              </w:rPr>
              <w:t>Applies to</w:t>
            </w:r>
          </w:p>
        </w:tc>
        <w:tc>
          <w:tcPr>
            <w:tcW w:type="dxa" w:w="6520"/>
          </w:tcPr>
          <w:p>
            <w:r/>
            <w:r>
              <w:rPr>
                <w:sz w:val="19"/>
              </w:rPr>
              <w:t>All Harbourline Energy Co. employees</w:t>
            </w:r>
          </w:p>
        </w:tc>
      </w:tr>
      <w:tr>
        <w:tc>
          <w:tcPr>
            <w:tcW w:type="dxa" w:w="2835"/>
          </w:tcPr>
          <w:p>
            <w:r/>
            <w:r>
              <w:rPr>
                <w:sz w:val="19"/>
              </w:rPr>
              <w:t>Next scheduled review</w:t>
            </w:r>
          </w:p>
        </w:tc>
        <w:tc>
          <w:tcPr>
            <w:tcW w:type="dxa" w:w="6520"/>
          </w:tcPr>
          <w:p>
            <w:r/>
            <w:r>
              <w:rPr>
                <w:sz w:val="19"/>
              </w:rPr>
              <w:t>2026-09-30</w:t>
            </w:r>
          </w:p>
        </w:tc>
      </w:tr>
    </w:tbl>
    <w:p/>
    <w:p>
      <w:pPr>
        <w:pStyle w:val="Heading1"/>
      </w:pPr>
      <w:r>
        <w:t>1. Purpose</w:t>
      </w:r>
    </w:p>
    <w:p>
      <w:r>
        <w:t>Harbourline accommodates employees and applicants to the point of undue hardship, in line with the Ontario Human Rights Code, the Accessibility for Ontarians with Disabilities Act (AODA), the Americans with Disabilities Act (ADA), and New York and Ohio law.</w:t>
      </w:r>
    </w:p>
    <w:p>
      <w:pPr>
        <w:pStyle w:val="Heading1"/>
      </w:pPr>
      <w:r>
        <w:t>2. Scope</w:t>
      </w:r>
    </w:p>
    <w:p>
      <w:r>
        <w:t>Accommodation is available for disability, religion or creed, family status, pregnancy and other protected grounds, for employees and job applicants in Canada and the United States.</w:t>
      </w:r>
    </w:p>
    <w:p>
      <w:pPr>
        <w:pStyle w:val="Heading1"/>
      </w:pPr>
      <w:r>
        <w:t>3. Definitions</w:t>
      </w:r>
    </w:p>
    <w:tbl>
      <w:tblPr>
        <w:tblStyle w:val="TableGrid"/>
        <w:tblW w:type="auto" w:w="0"/>
        <w:tblLook w:firstColumn="1" w:firstRow="1" w:lastColumn="0" w:lastRow="0" w:noHBand="0" w:noVBand="1" w:val="04A0"/>
      </w:tblPr>
      <w:tblGrid>
        <w:gridCol w:w="4873"/>
        <w:gridCol w:w="4873"/>
      </w:tblGrid>
      <w:tr>
        <w:tc>
          <w:tcPr>
            <w:tcW w:type="dxa" w:w="2551"/>
          </w:tcPr>
          <w:p>
            <w:r/>
            <w:r>
              <w:rPr>
                <w:b/>
                <w:sz w:val="19"/>
              </w:rPr>
              <w:t>Term</w:t>
            </w:r>
          </w:p>
        </w:tc>
        <w:tc>
          <w:tcPr>
            <w:tcW w:type="dxa" w:w="6803"/>
          </w:tcPr>
          <w:p>
            <w:r/>
            <w:r>
              <w:rPr>
                <w:b/>
                <w:sz w:val="19"/>
              </w:rPr>
              <w:t>Meaning</w:t>
            </w:r>
          </w:p>
        </w:tc>
      </w:tr>
      <w:tr>
        <w:tc>
          <w:tcPr>
            <w:tcW w:type="dxa" w:w="2551"/>
          </w:tcPr>
          <w:p>
            <w:r/>
            <w:r>
              <w:rPr>
                <w:sz w:val="19"/>
              </w:rPr>
              <w:t>Accommodation</w:t>
            </w:r>
          </w:p>
        </w:tc>
        <w:tc>
          <w:tcPr>
            <w:tcW w:type="dxa" w:w="6803"/>
          </w:tcPr>
          <w:p>
            <w:r/>
            <w:r>
              <w:rPr>
                <w:sz w:val="19"/>
              </w:rPr>
              <w:t>A change to the job, workplace or schedule that removes a barrier related to a protected ground.</w:t>
            </w:r>
          </w:p>
        </w:tc>
      </w:tr>
      <w:tr>
        <w:tc>
          <w:tcPr>
            <w:tcW w:type="dxa" w:w="2551"/>
          </w:tcPr>
          <w:p>
            <w:r/>
            <w:r>
              <w:rPr>
                <w:sz w:val="19"/>
              </w:rPr>
              <w:t>Undue hardship</w:t>
            </w:r>
          </w:p>
        </w:tc>
        <w:tc>
          <w:tcPr>
            <w:tcW w:type="dxa" w:w="6803"/>
          </w:tcPr>
          <w:p>
            <w:r/>
            <w:r>
              <w:rPr>
                <w:sz w:val="19"/>
              </w:rPr>
              <w:t>Cost or health and safety risk so significant that accommodation cannot reasonably be made, as defined by applicable law.</w:t>
            </w:r>
          </w:p>
        </w:tc>
      </w:tr>
      <w:tr>
        <w:tc>
          <w:tcPr>
            <w:tcW w:type="dxa" w:w="2551"/>
          </w:tcPr>
          <w:p>
            <w:r/>
            <w:r>
              <w:rPr>
                <w:sz w:val="19"/>
              </w:rPr>
              <w:t>Interactive process</w:t>
            </w:r>
          </w:p>
        </w:tc>
        <w:tc>
          <w:tcPr>
            <w:tcW w:type="dxa" w:w="6803"/>
          </w:tcPr>
          <w:p>
            <w:r/>
            <w:r>
              <w:rPr>
                <w:sz w:val="19"/>
              </w:rPr>
              <w:t>Good-faith collaboration between employee, manager and HR to identify options.</w:t>
            </w:r>
          </w:p>
        </w:tc>
      </w:tr>
      <w:tr>
        <w:tc>
          <w:tcPr>
            <w:tcW w:type="dxa" w:w="2551"/>
          </w:tcPr>
          <w:p>
            <w:r/>
            <w:r>
              <w:rPr>
                <w:sz w:val="19"/>
              </w:rPr>
              <w:t>Individual accommodation plan</w:t>
            </w:r>
          </w:p>
        </w:tc>
        <w:tc>
          <w:tcPr>
            <w:tcW w:type="dxa" w:w="6803"/>
          </w:tcPr>
          <w:p>
            <w:r/>
            <w:r>
              <w:rPr>
                <w:sz w:val="19"/>
              </w:rPr>
              <w:t>A written plan that records agreed accommodations and review dates.</w:t>
            </w:r>
          </w:p>
        </w:tc>
      </w:tr>
    </w:tbl>
    <w:p/>
    <w:p>
      <w:pPr>
        <w:pStyle w:val="Heading1"/>
      </w:pPr>
      <w:r>
        <w:t>4. Policy Statements</w:t>
      </w:r>
    </w:p>
    <w:p>
      <w:pPr>
        <w:pStyle w:val="ListBullet"/>
      </w:pPr>
      <w:r>
        <w:t>Requests may be made verbally or in writing; using Form ACC-1 in the HR self-service portal is preferred but not required.</w:t>
      </w:r>
    </w:p>
    <w:p>
      <w:pPr>
        <w:pStyle w:val="ListBullet"/>
      </w:pPr>
      <w:r>
        <w:t>Medical information is held by Health Services, not by the manager. Managers receive only functional limitations.</w:t>
      </w:r>
    </w:p>
    <w:p>
      <w:pPr>
        <w:pStyle w:val="ListBullet"/>
      </w:pPr>
      <w:r>
        <w:t>Safety-sensitive roles (for example, lineworkers and system operators) require a fitness-for-duty assessment where the request affects safety-critical tasks.</w:t>
      </w:r>
    </w:p>
    <w:p>
      <w:pPr>
        <w:pStyle w:val="ListBullet"/>
      </w:pPr>
      <w:r>
        <w:t>Accommodation costs are paid from the central Accommodation Fund. Requests up to CAD 5,000 (or USD 3,700) are approved by the HR Business Partner without Vice President approval.</w:t>
      </w:r>
    </w:p>
    <w:p>
      <w:pPr>
        <w:pStyle w:val="Heading1"/>
      </w:pPr>
      <w:r>
        <w:t>5. Procedures</w:t>
      </w:r>
    </w:p>
    <w:tbl>
      <w:tblPr>
        <w:tblStyle w:val="TableGrid"/>
        <w:tblW w:type="auto" w:w="0"/>
        <w:tblLook w:firstColumn="1" w:firstRow="1" w:lastColumn="0" w:lastRow="0" w:noHBand="0" w:noVBand="1" w:val="04A0"/>
      </w:tblPr>
      <w:tblGrid>
        <w:gridCol w:w="4873"/>
        <w:gridCol w:w="4873"/>
      </w:tblGrid>
      <w:tr>
        <w:tc>
          <w:tcPr>
            <w:tcW w:type="dxa" w:w="5102"/>
          </w:tcPr>
          <w:p>
            <w:r/>
            <w:r>
              <w:rPr>
                <w:b/>
                <w:sz w:val="19"/>
              </w:rPr>
              <w:t>Step</w:t>
            </w:r>
          </w:p>
        </w:tc>
        <w:tc>
          <w:tcPr>
            <w:tcW w:type="dxa" w:w="4252"/>
          </w:tcPr>
          <w:p>
            <w:r/>
            <w:r>
              <w:rPr>
                <w:b/>
                <w:sz w:val="19"/>
              </w:rPr>
              <w:t>Timeline</w:t>
            </w:r>
          </w:p>
        </w:tc>
      </w:tr>
      <w:tr>
        <w:tc>
          <w:tcPr>
            <w:tcW w:type="dxa" w:w="5102"/>
          </w:tcPr>
          <w:p>
            <w:r/>
            <w:r>
              <w:rPr>
                <w:sz w:val="19"/>
              </w:rPr>
              <w:t>Request received and acknowledged</w:t>
            </w:r>
          </w:p>
        </w:tc>
        <w:tc>
          <w:tcPr>
            <w:tcW w:type="dxa" w:w="4252"/>
          </w:tcPr>
          <w:p>
            <w:r/>
            <w:r>
              <w:rPr>
                <w:sz w:val="19"/>
              </w:rPr>
              <w:t>Within 2 business days</w:t>
            </w:r>
          </w:p>
        </w:tc>
      </w:tr>
      <w:tr>
        <w:tc>
          <w:tcPr>
            <w:tcW w:type="dxa" w:w="5102"/>
          </w:tcPr>
          <w:p>
            <w:r/>
            <w:r>
              <w:rPr>
                <w:sz w:val="19"/>
              </w:rPr>
              <w:t>Initial interactive process meeting</w:t>
            </w:r>
          </w:p>
        </w:tc>
        <w:tc>
          <w:tcPr>
            <w:tcW w:type="dxa" w:w="4252"/>
          </w:tcPr>
          <w:p>
            <w:r/>
            <w:r>
              <w:rPr>
                <w:sz w:val="19"/>
              </w:rPr>
              <w:t>Within 10 business days of request</w:t>
            </w:r>
          </w:p>
        </w:tc>
      </w:tr>
      <w:tr>
        <w:tc>
          <w:tcPr>
            <w:tcW w:type="dxa" w:w="5102"/>
          </w:tcPr>
          <w:p>
            <w:r/>
            <w:r>
              <w:rPr>
                <w:sz w:val="19"/>
              </w:rPr>
              <w:t>Decision communicated in writing</w:t>
            </w:r>
          </w:p>
        </w:tc>
        <w:tc>
          <w:tcPr>
            <w:tcW w:type="dxa" w:w="4252"/>
          </w:tcPr>
          <w:p>
            <w:r/>
            <w:r>
              <w:rPr>
                <w:sz w:val="19"/>
              </w:rPr>
              <w:t>Within 30 calendar days of request</w:t>
            </w:r>
          </w:p>
        </w:tc>
      </w:tr>
      <w:tr>
        <w:tc>
          <w:tcPr>
            <w:tcW w:type="dxa" w:w="5102"/>
          </w:tcPr>
          <w:p>
            <w:r/>
            <w:r>
              <w:rPr>
                <w:sz w:val="19"/>
              </w:rPr>
              <w:t>Individual accommodation plan reviewed</w:t>
            </w:r>
          </w:p>
        </w:tc>
        <w:tc>
          <w:tcPr>
            <w:tcW w:type="dxa" w:w="4252"/>
          </w:tcPr>
          <w:p>
            <w:r/>
            <w:r>
              <w:rPr>
                <w:sz w:val="19"/>
              </w:rPr>
              <w:t>Every 12 months, or sooner if needs change</w:t>
            </w:r>
          </w:p>
        </w:tc>
      </w:tr>
    </w:tbl>
    <w:p/>
    <w:p>
      <w:r>
        <w:t>If an accommodation is denied on the basis of undue hardship, the decision must be approved by the Director, Employee Relations, and the employee may use the Grievance Procedure.</w:t>
      </w:r>
    </w:p>
    <w:p>
      <w:pPr>
        <w:pStyle w:val="Heading1"/>
      </w:pPr>
      <w:r>
        <w:t>6. Roles and Responsibilities</w:t>
      </w:r>
    </w:p>
    <w:tbl>
      <w:tblPr>
        <w:tblStyle w:val="TableGrid"/>
        <w:tblW w:type="auto" w:w="0"/>
        <w:tblLook w:firstColumn="1" w:firstRow="1" w:lastColumn="0" w:lastRow="0" w:noHBand="0" w:noVBand="1" w:val="04A0"/>
      </w:tblPr>
      <w:tblGrid>
        <w:gridCol w:w="4873"/>
        <w:gridCol w:w="4873"/>
      </w:tblGrid>
      <w:tr>
        <w:tc>
          <w:tcPr>
            <w:tcW w:type="dxa" w:w="2551"/>
          </w:tcPr>
          <w:p>
            <w:r/>
            <w:r>
              <w:rPr>
                <w:b/>
                <w:sz w:val="19"/>
              </w:rPr>
              <w:t>Role</w:t>
            </w:r>
          </w:p>
        </w:tc>
        <w:tc>
          <w:tcPr>
            <w:tcW w:type="dxa" w:w="6803"/>
          </w:tcPr>
          <w:p>
            <w:r/>
            <w:r>
              <w:rPr>
                <w:b/>
                <w:sz w:val="19"/>
              </w:rPr>
              <w:t>Responsibility</w:t>
            </w:r>
          </w:p>
        </w:tc>
      </w:tr>
      <w:tr>
        <w:tc>
          <w:tcPr>
            <w:tcW w:type="dxa" w:w="2551"/>
          </w:tcPr>
          <w:p>
            <w:r/>
            <w:r>
              <w:rPr>
                <w:sz w:val="19"/>
              </w:rPr>
              <w:t>Employee</w:t>
            </w:r>
          </w:p>
        </w:tc>
        <w:tc>
          <w:tcPr>
            <w:tcW w:type="dxa" w:w="6803"/>
          </w:tcPr>
          <w:p>
            <w:r/>
            <w:r>
              <w:rPr>
                <w:sz w:val="19"/>
              </w:rPr>
              <w:t>Makes the need known and participates in the interactive process.</w:t>
            </w:r>
          </w:p>
        </w:tc>
      </w:tr>
      <w:tr>
        <w:tc>
          <w:tcPr>
            <w:tcW w:type="dxa" w:w="2551"/>
          </w:tcPr>
          <w:p>
            <w:r/>
            <w:r>
              <w:rPr>
                <w:sz w:val="19"/>
              </w:rPr>
              <w:t>Manager</w:t>
            </w:r>
          </w:p>
        </w:tc>
        <w:tc>
          <w:tcPr>
            <w:tcW w:type="dxa" w:w="6803"/>
          </w:tcPr>
          <w:p>
            <w:r/>
            <w:r>
              <w:rPr>
                <w:sz w:val="19"/>
              </w:rPr>
              <w:t>Refers requests to HR, implements the plan, protects confidentiality.</w:t>
            </w:r>
          </w:p>
        </w:tc>
      </w:tr>
      <w:tr>
        <w:tc>
          <w:tcPr>
            <w:tcW w:type="dxa" w:w="2551"/>
          </w:tcPr>
          <w:p>
            <w:r/>
            <w:r>
              <w:rPr>
                <w:sz w:val="19"/>
              </w:rPr>
              <w:t>HR Business Partner</w:t>
            </w:r>
          </w:p>
        </w:tc>
        <w:tc>
          <w:tcPr>
            <w:tcW w:type="dxa" w:w="6803"/>
          </w:tcPr>
          <w:p>
            <w:r/>
            <w:r>
              <w:rPr>
                <w:sz w:val="19"/>
              </w:rPr>
              <w:t>Leads the interactive process and approves costs within limit.</w:t>
            </w:r>
          </w:p>
        </w:tc>
      </w:tr>
      <w:tr>
        <w:tc>
          <w:tcPr>
            <w:tcW w:type="dxa" w:w="2551"/>
          </w:tcPr>
          <w:p>
            <w:r/>
            <w:r>
              <w:rPr>
                <w:sz w:val="19"/>
              </w:rPr>
              <w:t>Health Services</w:t>
            </w:r>
          </w:p>
        </w:tc>
        <w:tc>
          <w:tcPr>
            <w:tcW w:type="dxa" w:w="6803"/>
          </w:tcPr>
          <w:p>
            <w:r/>
            <w:r>
              <w:rPr>
                <w:sz w:val="19"/>
              </w:rPr>
              <w:t>Holds medical information and advises on functional abilities.</w:t>
            </w:r>
          </w:p>
        </w:tc>
      </w:tr>
    </w:tbl>
    <w:p/>
    <w:p>
      <w:pPr>
        <w:pStyle w:val="Heading1"/>
      </w:pPr>
      <w:r>
        <w:t>7. Related Documents</w:t>
      </w:r>
    </w:p>
    <w:p>
      <w:pPr>
        <w:pStyle w:val="ListBullet"/>
      </w:pPr>
      <w:r>
        <w:t>Workplace Harassment and Violence Prevention Policy, Ontario (HR-POL-031)</w:t>
      </w:r>
    </w:p>
    <w:p>
      <w:pPr>
        <w:pStyle w:val="ListBullet"/>
      </w:pPr>
      <w:r>
        <w:t>FMLA Guidance, United States (HR-POL-045)</w:t>
      </w:r>
    </w:p>
    <w:p>
      <w:pPr>
        <w:pStyle w:val="ListBullet"/>
      </w:pPr>
      <w:r>
        <w:t>Grievance Procedure (HR-POL-070)</w:t>
      </w:r>
    </w:p>
    <w:p>
      <w:pPr>
        <w:pStyle w:val="ListBullet"/>
      </w:pPr>
      <w:r>
        <w:t>Multi-Year Accessibility Plan (Harbourline Hub)</w:t>
      </w:r>
    </w:p>
    <w:p>
      <w:pPr>
        <w:pStyle w:val="Heading1"/>
      </w:pPr>
      <w:r>
        <w:t>8.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1134"/>
          </w:tcPr>
          <w:p>
            <w:r/>
            <w:r>
              <w:rPr>
                <w:b/>
                <w:sz w:val="19"/>
              </w:rPr>
              <w:t>Version</w:t>
            </w:r>
          </w:p>
        </w:tc>
        <w:tc>
          <w:tcPr>
            <w:tcW w:type="dxa" w:w="1587"/>
          </w:tcPr>
          <w:p>
            <w:r/>
            <w:r>
              <w:rPr>
                <w:b/>
                <w:sz w:val="19"/>
              </w:rPr>
              <w:t>Date</w:t>
            </w:r>
          </w:p>
        </w:tc>
        <w:tc>
          <w:tcPr>
            <w:tcW w:type="dxa" w:w="2268"/>
          </w:tcPr>
          <w:p>
            <w:r/>
            <w:r>
              <w:rPr>
                <w:b/>
                <w:sz w:val="19"/>
              </w:rPr>
              <w:t>Author</w:t>
            </w:r>
          </w:p>
        </w:tc>
        <w:tc>
          <w:tcPr>
            <w:tcW w:type="dxa" w:w="4365"/>
          </w:tcPr>
          <w:p>
            <w:r/>
            <w:r>
              <w:rPr>
                <w:b/>
                <w:sz w:val="19"/>
              </w:rPr>
              <w:t>Summary of changes</w:t>
            </w:r>
          </w:p>
        </w:tc>
      </w:tr>
      <w:tr>
        <w:tc>
          <w:tcPr>
            <w:tcW w:type="dxa" w:w="1134"/>
          </w:tcPr>
          <w:p>
            <w:r/>
            <w:r>
              <w:rPr>
                <w:sz w:val="19"/>
              </w:rPr>
              <w:t>1.0</w:t>
            </w:r>
          </w:p>
        </w:tc>
        <w:tc>
          <w:tcPr>
            <w:tcW w:type="dxa" w:w="1587"/>
          </w:tcPr>
          <w:p>
            <w:r/>
            <w:r>
              <w:rPr>
                <w:sz w:val="19"/>
              </w:rPr>
              <w:t>2019-01-01</w:t>
            </w:r>
          </w:p>
        </w:tc>
        <w:tc>
          <w:tcPr>
            <w:tcW w:type="dxa" w:w="2268"/>
          </w:tcPr>
          <w:p>
            <w:r/>
            <w:r>
              <w:rPr>
                <w:sz w:val="19"/>
              </w:rPr>
              <w:t>HR Policy Office</w:t>
            </w:r>
          </w:p>
        </w:tc>
        <w:tc>
          <w:tcPr>
            <w:tcW w:type="dxa" w:w="4365"/>
          </w:tcPr>
          <w:p>
            <w:r/>
            <w:r>
              <w:rPr>
                <w:sz w:val="19"/>
              </w:rPr>
              <w:t>Initial policy.</w:t>
            </w:r>
          </w:p>
        </w:tc>
      </w:tr>
      <w:tr>
        <w:tc>
          <w:tcPr>
            <w:tcW w:type="dxa" w:w="1134"/>
          </w:tcPr>
          <w:p>
            <w:r/>
            <w:r>
              <w:rPr>
                <w:sz w:val="19"/>
              </w:rPr>
              <w:t>1.2</w:t>
            </w:r>
          </w:p>
        </w:tc>
        <w:tc>
          <w:tcPr>
            <w:tcW w:type="dxa" w:w="1587"/>
          </w:tcPr>
          <w:p>
            <w:r/>
            <w:r>
              <w:rPr>
                <w:sz w:val="19"/>
              </w:rPr>
              <w:t>2022-10-01</w:t>
            </w:r>
          </w:p>
        </w:tc>
        <w:tc>
          <w:tcPr>
            <w:tcW w:type="dxa" w:w="2268"/>
          </w:tcPr>
          <w:p>
            <w:r/>
            <w:r>
              <w:rPr>
                <w:sz w:val="19"/>
              </w:rPr>
              <w:t>Hamid Qureshi</w:t>
            </w:r>
          </w:p>
        </w:tc>
        <w:tc>
          <w:tcPr>
            <w:tcW w:type="dxa" w:w="4365"/>
          </w:tcPr>
          <w:p>
            <w:r/>
            <w:r>
              <w:rPr>
                <w:sz w:val="19"/>
              </w:rPr>
              <w:t>Added US ADA references.</w:t>
            </w:r>
          </w:p>
        </w:tc>
      </w:tr>
      <w:tr>
        <w:tc>
          <w:tcPr>
            <w:tcW w:type="dxa" w:w="1134"/>
          </w:tcPr>
          <w:p>
            <w:r/>
            <w:r>
              <w:rPr>
                <w:sz w:val="19"/>
              </w:rPr>
              <w:t>2.0</w:t>
            </w:r>
          </w:p>
        </w:tc>
        <w:tc>
          <w:tcPr>
            <w:tcW w:type="dxa" w:w="1587"/>
          </w:tcPr>
          <w:p>
            <w:r/>
            <w:r>
              <w:rPr>
                <w:sz w:val="19"/>
              </w:rPr>
              <w:t>2024-10-01</w:t>
            </w:r>
          </w:p>
        </w:tc>
        <w:tc>
          <w:tcPr>
            <w:tcW w:type="dxa" w:w="2268"/>
          </w:tcPr>
          <w:p>
            <w:r/>
            <w:r>
              <w:rPr>
                <w:sz w:val="19"/>
              </w:rPr>
              <w:t>Hamid Qureshi</w:t>
            </w:r>
          </w:p>
        </w:tc>
        <w:tc>
          <w:tcPr>
            <w:tcW w:type="dxa" w:w="4365"/>
          </w:tcPr>
          <w:p>
            <w:r/>
            <w:r>
              <w:rPr>
                <w:sz w:val="19"/>
              </w:rPr>
              <w:t>Central Accommodation Fund created; HRBP approval limit CAD 5,000.</w:t>
            </w:r>
          </w:p>
        </w:tc>
      </w:tr>
    </w:tbl>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Printed copies are uncontrolled. The current version is maintained in the Harbourline Hub HR-Policies library.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Harbourline Energy Co.  |  HR-POL-033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 Accommodation Policy</dc:title>
  <dc:subject>Human Resources policy</dc:subject>
  <dc:creator>Harbourline Human Resources</dc:creator>
  <cp:keywords>Harbourline; HR; policy</cp:keywords>
  <dc:description/>
  <cp:lastModifiedBy>Harbourline Human Resources</cp:lastModifiedBy>
  <cp:revision>1</cp:revision>
  <dcterms:created xsi:type="dcterms:W3CDTF">2025-06-01T09:00:00Z</dcterms:created>
  <dcterms:modified xsi:type="dcterms:W3CDTF">2025-06-01T09:00:00Z</dcterms:modified>
  <cp:category>Policy</cp:category>
  <cp:lastPrinted>2025-06-01T09:00:00Z</cp:lastPrinted>
</cp:coreProperties>
</file>