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Matrix</w:t>
      </w:r>
    </w:p>
    <w:p>
      <w:r>
        <w:rPr>
          <w:i/>
          <w:color w:val="404040"/>
        </w:rPr>
        <w:t>Delegation of financial authority by spend category and approver level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HLE-FIN-102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Finance, Office of the CFO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Harbourline Energy Co. employees unless stated otherwise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approval matrix sets the maximum amount each approver level may authorize for each spend category. A commitment must be approved by the lowest level whose limit is equal to or greater than the total commitment value.</w:t>
      </w:r>
    </w:p>
    <w:p>
      <w:pPr>
        <w:pStyle w:val="Heading1"/>
      </w:pPr>
      <w:r>
        <w:t>2. Approval thresholds</w:t>
      </w:r>
    </w:p>
    <w:p>
      <w:r>
        <w:t>Amounts are maximum commitment values per transaction. Ontario amounts are in CAD. For New York and Ohio operations, the same numeric amounts apply in USD.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Spend category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Supervisor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Manager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Director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VP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CFO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Board</w:t>
            </w:r>
          </w:p>
        </w:tc>
      </w:tr>
      <w:tr>
        <w:tc>
          <w:tcPr>
            <w:tcW w:type="dxa" w:w="1234"/>
          </w:tcPr>
          <w:p>
            <w:r>
              <w:t>Operating expense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  <w:tc>
          <w:tcPr>
            <w:tcW w:type="dxa" w:w="1234"/>
          </w:tcPr>
          <w:p>
            <w:r>
              <w:t>25,000</w:t>
            </w:r>
          </w:p>
        </w:tc>
        <w:tc>
          <w:tcPr>
            <w:tcW w:type="dxa" w:w="1234"/>
          </w:tcPr>
          <w:p>
            <w:r>
              <w:t>100,000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2,000,000</w:t>
            </w:r>
          </w:p>
        </w:tc>
        <w:tc>
          <w:tcPr>
            <w:tcW w:type="dxa" w:w="1234"/>
          </w:tcPr>
          <w:p>
            <w:r>
              <w:t>Above 2,000,000</w:t>
            </w:r>
          </w:p>
        </w:tc>
      </w:tr>
      <w:tr>
        <w:tc>
          <w:tcPr>
            <w:tcW w:type="dxa" w:w="1234"/>
          </w:tcPr>
          <w:p>
            <w:r>
              <w:t>Capital project</w:t>
            </w:r>
          </w:p>
        </w:tc>
        <w:tc>
          <w:tcPr>
            <w:tcW w:type="dxa" w:w="1234"/>
          </w:tcPr>
          <w:p>
            <w:r>
              <w:t>Not authorized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250,000</w:t>
            </w:r>
          </w:p>
        </w:tc>
        <w:tc>
          <w:tcPr>
            <w:tcW w:type="dxa" w:w="1234"/>
          </w:tcPr>
          <w:p>
            <w:r>
              <w:t>1,000,000</w:t>
            </w:r>
          </w:p>
        </w:tc>
        <w:tc>
          <w:tcPr>
            <w:tcW w:type="dxa" w:w="1234"/>
          </w:tcPr>
          <w:p>
            <w:r>
              <w:t>5,000,000</w:t>
            </w:r>
          </w:p>
        </w:tc>
        <w:tc>
          <w:tcPr>
            <w:tcW w:type="dxa" w:w="1234"/>
          </w:tcPr>
          <w:p>
            <w:r>
              <w:t>Above 5,000,000</w:t>
            </w:r>
          </w:p>
        </w:tc>
      </w:tr>
      <w:tr>
        <w:tc>
          <w:tcPr>
            <w:tcW w:type="dxa" w:w="1234"/>
          </w:tcPr>
          <w:p>
            <w:r>
              <w:t>Vendor contract</w:t>
            </w:r>
          </w:p>
        </w:tc>
        <w:tc>
          <w:tcPr>
            <w:tcW w:type="dxa" w:w="1234"/>
          </w:tcPr>
          <w:p>
            <w:r>
              <w:t>10,000</w:t>
            </w:r>
          </w:p>
        </w:tc>
        <w:tc>
          <w:tcPr>
            <w:tcW w:type="dxa" w:w="1234"/>
          </w:tcPr>
          <w:p>
            <w:r>
              <w:t>50,000</w:t>
            </w:r>
          </w:p>
        </w:tc>
        <w:tc>
          <w:tcPr>
            <w:tcW w:type="dxa" w:w="1234"/>
          </w:tcPr>
          <w:p>
            <w:r>
              <w:t>250,000</w:t>
            </w:r>
          </w:p>
        </w:tc>
        <w:tc>
          <w:tcPr>
            <w:tcW w:type="dxa" w:w="1234"/>
          </w:tcPr>
          <w:p>
            <w:r>
              <w:t>1,000,000</w:t>
            </w:r>
          </w:p>
        </w:tc>
        <w:tc>
          <w:tcPr>
            <w:tcW w:type="dxa" w:w="1234"/>
          </w:tcPr>
          <w:p>
            <w:r>
              <w:t>3,000,000</w:t>
            </w:r>
          </w:p>
        </w:tc>
        <w:tc>
          <w:tcPr>
            <w:tcW w:type="dxa" w:w="1234"/>
          </w:tcPr>
          <w:p>
            <w:r>
              <w:t>Above 3,000,000</w:t>
            </w:r>
          </w:p>
        </w:tc>
      </w:tr>
      <w:tr>
        <w:tc>
          <w:tcPr>
            <w:tcW w:type="dxa" w:w="1234"/>
          </w:tcPr>
          <w:p>
            <w:r>
              <w:t>Emergency restoration procurement</w:t>
            </w:r>
          </w:p>
        </w:tc>
        <w:tc>
          <w:tcPr>
            <w:tcW w:type="dxa" w:w="1234"/>
          </w:tcPr>
          <w:p>
            <w:r>
              <w:t>25,000</w:t>
            </w:r>
          </w:p>
        </w:tc>
        <w:tc>
          <w:tcPr>
            <w:tcW w:type="dxa" w:w="1234"/>
          </w:tcPr>
          <w:p>
            <w:r>
              <w:t>100,000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2,000,000</w:t>
            </w:r>
          </w:p>
        </w:tc>
        <w:tc>
          <w:tcPr>
            <w:tcW w:type="dxa" w:w="1234"/>
          </w:tcPr>
          <w:p>
            <w:r>
              <w:t>10,000,000</w:t>
            </w:r>
          </w:p>
        </w:tc>
        <w:tc>
          <w:tcPr>
            <w:tcW w:type="dxa" w:w="1234"/>
          </w:tcPr>
          <w:p>
            <w:r>
              <w:t>Above 10,000,000</w:t>
            </w:r>
          </w:p>
        </w:tc>
      </w:tr>
      <w:tr>
        <w:tc>
          <w:tcPr>
            <w:tcW w:type="dxa" w:w="1234"/>
          </w:tcPr>
          <w:p>
            <w:r>
              <w:t>Consulting services</w:t>
            </w:r>
          </w:p>
        </w:tc>
        <w:tc>
          <w:tcPr>
            <w:tcW w:type="dxa" w:w="1234"/>
          </w:tcPr>
          <w:p>
            <w:r>
              <w:t>Not authorized</w:t>
            </w:r>
          </w:p>
        </w:tc>
        <w:tc>
          <w:tcPr>
            <w:tcW w:type="dxa" w:w="1234"/>
          </w:tcPr>
          <w:p>
            <w:r>
              <w:t>25,000</w:t>
            </w:r>
          </w:p>
        </w:tc>
        <w:tc>
          <w:tcPr>
            <w:tcW w:type="dxa" w:w="1234"/>
          </w:tcPr>
          <w:p>
            <w:r>
              <w:t>75,000</w:t>
            </w:r>
          </w:p>
        </w:tc>
        <w:tc>
          <w:tcPr>
            <w:tcW w:type="dxa" w:w="1234"/>
          </w:tcPr>
          <w:p>
            <w:r>
              <w:t>300,000</w:t>
            </w:r>
          </w:p>
        </w:tc>
        <w:tc>
          <w:tcPr>
            <w:tcW w:type="dxa" w:w="1234"/>
          </w:tcPr>
          <w:p>
            <w:r>
              <w:t>1,000,000</w:t>
            </w:r>
          </w:p>
        </w:tc>
        <w:tc>
          <w:tcPr>
            <w:tcW w:type="dxa" w:w="1234"/>
          </w:tcPr>
          <w:p>
            <w:r>
              <w:t>Above 1,000,000</w:t>
            </w:r>
          </w:p>
        </w:tc>
      </w:tr>
      <w:tr>
        <w:tc>
          <w:tcPr>
            <w:tcW w:type="dxa" w:w="1234"/>
          </w:tcPr>
          <w:p>
            <w:r>
              <w:t>IT software</w:t>
            </w:r>
          </w:p>
        </w:tc>
        <w:tc>
          <w:tcPr>
            <w:tcW w:type="dxa" w:w="1234"/>
          </w:tcPr>
          <w:p>
            <w:r>
              <w:t>2,500</w:t>
            </w:r>
          </w:p>
        </w:tc>
        <w:tc>
          <w:tcPr>
            <w:tcW w:type="dxa" w:w="1234"/>
          </w:tcPr>
          <w:p>
            <w:r>
              <w:t>15,000</w:t>
            </w:r>
          </w:p>
        </w:tc>
        <w:tc>
          <w:tcPr>
            <w:tcW w:type="dxa" w:w="1234"/>
          </w:tcPr>
          <w:p>
            <w:r>
              <w:t>75,000</w:t>
            </w:r>
          </w:p>
        </w:tc>
        <w:tc>
          <w:tcPr>
            <w:tcW w:type="dxa" w:w="1234"/>
          </w:tcPr>
          <w:p>
            <w:r>
              <w:t>250,000</w:t>
            </w:r>
          </w:p>
        </w:tc>
        <w:tc>
          <w:tcPr>
            <w:tcW w:type="dxa" w:w="1234"/>
          </w:tcPr>
          <w:p>
            <w:r>
              <w:t>1,000,000</w:t>
            </w:r>
          </w:p>
        </w:tc>
        <w:tc>
          <w:tcPr>
            <w:tcW w:type="dxa" w:w="1234"/>
          </w:tcPr>
          <w:p>
            <w:r>
              <w:t>Above 1,000,000</w:t>
            </w:r>
          </w:p>
        </w:tc>
      </w:tr>
    </w:tbl>
    <w:p/>
    <w:p>
      <w:pPr>
        <w:pStyle w:val="Heading1"/>
      </w:pPr>
      <w:r>
        <w:t>3. Notes</w:t>
      </w:r>
    </w:p>
    <w:p>
      <w:pPr>
        <w:pStyle w:val="ListBullet"/>
      </w:pPr>
      <w:r>
        <w:t>Note 1: Commitments must not be split into smaller amounts to avoid a higher approval level.</w:t>
      </w:r>
    </w:p>
    <w:p>
      <w:pPr>
        <w:pStyle w:val="ListBullet"/>
      </w:pPr>
      <w:r>
        <w:t>Note 2: Capital project amounts are total project cost including contingency, as defined in the Capital Project Approval procedure.</w:t>
      </w:r>
    </w:p>
    <w:p>
      <w:pPr>
        <w:pStyle w:val="ListBullet"/>
      </w:pPr>
      <w:r>
        <w:t>Note 3: Vendor contract amounts are the total value over the full contract term, including renewal options.</w:t>
      </w:r>
    </w:p>
    <w:p>
      <w:pPr>
        <w:pStyle w:val="ListBullet"/>
      </w:pPr>
      <w:r>
        <w:t>Note 4: Emergency restoration procurement applies only during a declared emergency. All emergency commitments above 500,000 must be ratified by the CFO within 10 business days after the emergency is closed.</w:t>
      </w:r>
    </w:p>
    <w:p>
      <w:pPr>
        <w:pStyle w:val="ListBullet"/>
      </w:pPr>
      <w:r>
        <w:t>Note 5: Consulting services includes management consulting, legal advisory and regulatory advisory work. Engineering design services are treated as Vendor contract.</w:t>
      </w:r>
    </w:p>
    <w:p>
      <w:pPr>
        <w:pStyle w:val="ListBullet"/>
      </w:pPr>
      <w:r>
        <w:t>Note 6: IT software includes subscriptions and licences. Amounts are the total annual cost.</w:t>
      </w:r>
    </w:p>
    <w:p>
      <w:pPr>
        <w:pStyle w:val="ListBullet"/>
      </w:pPr>
      <w:r>
        <w:t>Note 7: Supervisors cannot approve capital projects or consulting services.</w:t>
      </w:r>
    </w:p>
    <w:p>
      <w:pPr>
        <w:pStyle w:val="ListBullet"/>
      </w:pPr>
      <w:r>
        <w:t>Note 8: Temporary delegations of authority must be recorded by Finance before use and may not exceed the delegator's own limit.</w:t>
      </w:r>
    </w:p>
    <w:p>
      <w:pPr>
        <w:pStyle w:val="Heading1"/>
      </w:pPr>
      <w:r>
        <w:t>4. Worked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Required approver</w:t>
            </w:r>
          </w:p>
        </w:tc>
      </w:tr>
      <w:tr>
        <w:tc>
          <w:tcPr>
            <w:tcW w:type="dxa" w:w="4320"/>
          </w:tcPr>
          <w:p>
            <w:r>
              <w:t>Operating expense of CAD 80,000</w:t>
            </w:r>
          </w:p>
        </w:tc>
        <w:tc>
          <w:tcPr>
            <w:tcW w:type="dxa" w:w="4320"/>
          </w:tcPr>
          <w:p>
            <w:r>
              <w:t>Director</w:t>
            </w:r>
          </w:p>
        </w:tc>
      </w:tr>
      <w:tr>
        <w:tc>
          <w:tcPr>
            <w:tcW w:type="dxa" w:w="4320"/>
          </w:tcPr>
          <w:p>
            <w:r>
              <w:t>Vendor contract of USD 1,200,000 over three years</w:t>
            </w:r>
          </w:p>
        </w:tc>
        <w:tc>
          <w:tcPr>
            <w:tcW w:type="dxa" w:w="4320"/>
          </w:tcPr>
          <w:p>
            <w:r>
              <w:t>CFO</w:t>
            </w:r>
          </w:p>
        </w:tc>
      </w:tr>
      <w:tr>
        <w:tc>
          <w:tcPr>
            <w:tcW w:type="dxa" w:w="4320"/>
          </w:tcPr>
          <w:p>
            <w:r>
              <w:t>Capital project of CAD 6,500,000</w:t>
            </w:r>
          </w:p>
        </w:tc>
        <w:tc>
          <w:tcPr>
            <w:tcW w:type="dxa" w:w="4320"/>
          </w:tcPr>
          <w:p>
            <w:r>
              <w:t>Board</w:t>
            </w:r>
          </w:p>
        </w:tc>
      </w:tr>
      <w:tr>
        <w:tc>
          <w:tcPr>
            <w:tcW w:type="dxa" w:w="4320"/>
          </w:tcPr>
          <w:p>
            <w:r>
              <w:t>IT software subscription of CAD 12,000 per year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2024-04-01</w:t>
            </w:r>
          </w:p>
        </w:tc>
        <w:tc>
          <w:tcPr>
            <w:tcW w:type="dxa" w:w="2160"/>
          </w:tcPr>
          <w:p>
            <w:r>
              <w:t>Office of the CFO</w:t>
            </w:r>
          </w:p>
        </w:tc>
        <w:tc>
          <w:tcPr>
            <w:tcW w:type="dxa" w:w="2160"/>
          </w:tcPr>
          <w:p>
            <w:r>
              <w:t>Added Emergency restoration procurement category.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2024-10-01</w:t>
            </w:r>
          </w:p>
        </w:tc>
        <w:tc>
          <w:tcPr>
            <w:tcW w:type="dxa" w:w="2160"/>
          </w:tcPr>
          <w:p>
            <w:r>
              <w:t>Office of the CFO</w:t>
            </w:r>
          </w:p>
        </w:tc>
        <w:tc>
          <w:tcPr>
            <w:tcW w:type="dxa" w:w="2160"/>
          </w:tcPr>
          <w:p>
            <w:r>
              <w:t>Added IT software category.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2025-04-01</w:t>
            </w:r>
          </w:p>
        </w:tc>
        <w:tc>
          <w:tcPr>
            <w:tcW w:type="dxa" w:w="2160"/>
          </w:tcPr>
          <w:p>
            <w:r>
              <w:t>Office of the CFO</w:t>
            </w:r>
          </w:p>
        </w:tc>
        <w:tc>
          <w:tcPr>
            <w:tcW w:type="dxa" w:w="2160"/>
          </w:tcPr>
          <w:p>
            <w:r>
              <w:t>Consulting services Director limit reduced from 150,000 to 75,000.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Matrix</dc:title>
  <dc:subject>Delegation of financial authority by spend category and approver level</dc:subject>
  <dc:creator>Finance, Office of the CFO</dc:creator>
  <cp:keywords/>
  <dc:description>generated by python-docx</dc:description>
  <cp:lastModifiedBy>Finance, Office of the CFO</cp:lastModifiedBy>
  <cp:revision>1</cp:revision>
  <dcterms:created xsi:type="dcterms:W3CDTF">2025-09-15T09:00:00Z</dcterms:created>
  <dcterms:modified xsi:type="dcterms:W3CDTF">2025-09-15T09:00:00Z</dcterms:modified>
  <cp:category/>
</cp:coreProperties>
</file>