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0000"/>
          <w:sz w:val="28"/>
        </w:rPr>
        <w:t>CONFIDENTIAL - HR Only</w:t>
      </w:r>
    </w:p>
    <w:p>
      <w:r>
        <w:rPr>
          <w:b/>
          <w:color w:val="1F3A5F"/>
        </w:rPr>
        <w:t>Harbourline Energy Co.</w:t>
      </w:r>
    </w:p>
    <w:p>
      <w:pPr>
        <w:pStyle w:val="Title"/>
      </w:pPr>
      <w:r>
        <w:t>Compensation Bands 2025</w:t>
      </w:r>
    </w:p>
    <w:p>
      <w:r>
        <w:rPr>
          <w:i/>
        </w:rPr>
        <w:t>Salary structure for non-union employees, grades G1 to G12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6520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Document ID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HR-CMP-2025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Version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Effective date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2025-04-01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Policy owner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Elena Marchetti, Director, Total Rewards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Approved by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Margaret Osei, Vice President, People and Culture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Applies to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Non-union employees in Canada and the United States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Next scheduled review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2026-01-31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Classification</w:t>
            </w:r>
          </w:p>
        </w:tc>
        <w:tc>
          <w:tcPr>
            <w:tcW w:type="dxa" w:w="6520"/>
          </w:tcPr>
          <w:p>
            <w:r/>
            <w:r>
              <w:rPr>
                <w:sz w:val="19"/>
              </w:rPr>
              <w:t>Confidential, HR Only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publishes the 2025 salary structure used to set and review base salaries for non-union roles. It is restricted to the Human Resources team and is protected by the Confidential, HR Only sensitivity label.</w:t>
      </w:r>
    </w:p>
    <w:p>
      <w:pPr>
        <w:pStyle w:val="Heading1"/>
      </w:pPr>
      <w:r>
        <w:t>2. Structure Adjustment</w:t>
      </w:r>
    </w:p>
    <w:p>
      <w:r>
        <w:t>The 2025 structure moved all band midpoints up by 3.2% compared with 2024, based on the market survey of 22 North American utilities completed in November 2024. The midpoint progression between grades is approximately 14%, and each band spans 80% to 120% of its midpoint.</w:t>
      </w:r>
    </w:p>
    <w:p>
      <w:r>
        <w:t>The 2025 merit budget for non-union employees is 3.0% of base payroll, with a separate 0.5% pool for market adjustments of employees below 90% of midpoint.</w:t>
      </w:r>
    </w:p>
    <w:p>
      <w:pPr>
        <w:pStyle w:val="Heading1"/>
      </w:pPr>
      <w:r>
        <w:t>3. Salary Bands by Grade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907"/>
          </w:tcPr>
          <w:p>
            <w:r/>
            <w:r>
              <w:rPr>
                <w:b/>
                <w:sz w:val="19"/>
              </w:rPr>
              <w:t>Grade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9"/>
              </w:rPr>
              <w:t>CAD minimum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9"/>
              </w:rPr>
              <w:t>CAD midpoint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9"/>
              </w:rPr>
              <w:t>CAD maximum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9"/>
              </w:rPr>
              <w:t>USD minimum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9"/>
              </w:rPr>
              <w:t>USD midpoint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9"/>
              </w:rPr>
              <w:t>USD maximum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G1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38,400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48,000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57,600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29,900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37,400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44,900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G2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43,600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54,500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65,400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34,000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42,500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51,000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G3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49,600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62,000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74,400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38,700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48,400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58,100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G4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56,400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70,500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84,600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44,000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55,000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66,000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G5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64,400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80,500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96,600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50,200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62,800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75,400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G6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73,600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92,000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110,400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57,400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71,800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86,200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G7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84,000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105,000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126,000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65,500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81,900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98,300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G8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95,600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119,500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143,400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74,600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93,200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111,800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G9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108,800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136,000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163,200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84,900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106,100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127,300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G10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124,000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155,000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186,000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96,700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120,900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145,100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G11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141,200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176,500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211,800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110,200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137,700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165,200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G12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160,800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201,000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241,200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125,400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156,800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188,200</w:t>
            </w:r>
          </w:p>
        </w:tc>
      </w:tr>
    </w:tbl>
    <w:p/>
    <w:p>
      <w:r>
        <w:rPr>
          <w:i/>
        </w:rPr>
        <w:t>USD bands apply to New York and Ohio employees and are set at 78% of the CAD midpoint, rounded to the nearest 100, reflecting local market data rather than currency conversion.</w:t>
      </w:r>
    </w:p>
    <w:p>
      <w:pPr>
        <w:pStyle w:val="Heading1"/>
      </w:pPr>
      <w:r>
        <w:t>4. Typical Roles by Grade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Grade</w:t>
            </w:r>
          </w:p>
        </w:tc>
        <w:tc>
          <w:tcPr>
            <w:tcW w:type="dxa" w:w="7654"/>
          </w:tcPr>
          <w:p>
            <w:r/>
            <w:r>
              <w:rPr>
                <w:b/>
                <w:sz w:val="19"/>
              </w:rPr>
              <w:t>Example roles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G1 to G2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Customer service representative, clerk, meter reader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G3 to G4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Senior clerk, technician trainee, HR coordinator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G5 to G6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Analyst, planner, GIS specialist, accountant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G7 to G8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Senior engineer, senior analyst, HR business partner, supervisor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G9 to G10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Manager, principal engineer, senior manager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G11 to G12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Director, senior director (executive roles are set by the Board)</w:t>
            </w:r>
          </w:p>
        </w:tc>
      </w:tr>
    </w:tbl>
    <w:p/>
    <w:p>
      <w:pPr>
        <w:pStyle w:val="Heading1"/>
      </w:pPr>
      <w:r>
        <w:t>5. Rules for Use</w:t>
      </w:r>
    </w:p>
    <w:p>
      <w:pPr>
        <w:pStyle w:val="ListBullet"/>
      </w:pPr>
      <w:r>
        <w:t>New hires are normally placed between the band minimum and the midpoint.</w:t>
      </w:r>
    </w:p>
    <w:p>
      <w:pPr>
        <w:pStyle w:val="ListBullet"/>
      </w:pPr>
      <w:r>
        <w:t>Offers above the midpoint require Director, Total Rewards approval.</w:t>
      </w:r>
    </w:p>
    <w:p>
      <w:pPr>
        <w:pStyle w:val="ListBullet"/>
      </w:pPr>
      <w:r>
        <w:t>Offers above the maximum are not permitted.</w:t>
      </w:r>
    </w:p>
    <w:p>
      <w:pPr>
        <w:pStyle w:val="ListBullet"/>
      </w:pPr>
      <w:r>
        <w:t>Promotional increases are normally 8% to 12%, or to the new band minimum if greater.</w:t>
      </w:r>
    </w:p>
    <w:p>
      <w:pPr>
        <w:pStyle w:val="Heading1"/>
      </w:pPr>
      <w:r>
        <w:t>6.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</w:tcPr>
          <w:p>
            <w:r/>
            <w:r>
              <w:rPr>
                <w:b/>
                <w:sz w:val="19"/>
              </w:rPr>
              <w:t>Version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Author</w:t>
            </w:r>
          </w:p>
        </w:tc>
        <w:tc>
          <w:tcPr>
            <w:tcW w:type="dxa" w:w="4365"/>
          </w:tcPr>
          <w:p>
            <w:r/>
            <w:r>
              <w:rPr>
                <w:b/>
                <w:sz w:val="19"/>
              </w:rPr>
              <w:t>Summary of changes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2025-04-01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Elena Marchetti</w:t>
            </w:r>
          </w:p>
        </w:tc>
        <w:tc>
          <w:tcPr>
            <w:tcW w:type="dxa" w:w="4365"/>
          </w:tcPr>
          <w:p>
            <w:r/>
            <w:r>
              <w:rPr>
                <w:sz w:val="19"/>
              </w:rPr>
              <w:t>2025 structure; midpoints increased 3.2%.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CONFIDENTIAL - HR Only. Do not forward, print or store outside the HR-Policies library.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B00000"/>
      </w:rPr>
      <w:t xml:space="preserve">CONFIDENTIAL - HR Only    </w:t>
    </w:r>
    <w:r>
      <w:rPr>
        <w:sz w:val="16"/>
      </w:rPr>
      <w:t>Harbourline Energy Co.  |  HR-CMP-2025  |  Version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Compensation Bands 2025</dc:title>
  <dc:subject>Human Resources policy</dc:subject>
  <dc:creator>Harbourline Human Resources</dc:creator>
  <cp:keywords>compensation; salary bands; confidential</cp:keywords>
  <dc:description/>
  <cp:lastModifiedBy>Harbourline Human Resources</cp:lastModifiedBy>
  <cp:revision>1</cp:revision>
  <dcterms:created xsi:type="dcterms:W3CDTF">2025-06-01T09:00:00Z</dcterms:created>
  <dcterms:modified xsi:type="dcterms:W3CDTF">2025-06-01T09:00:00Z</dcterms:modified>
  <cp:category>Policy</cp:category>
  <cp:lastPrinted>2025-06-01T09:00:00Z</cp:lastPrinted>
</cp:coreProperties>
</file>