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0" w:after="80"/>
        <w:jc w:val="center"/>
      </w:pPr>
      <w:r>
        <w:rPr>
          <w:b/>
          <w:color w:val="002664"/>
          <w:sz w:val="44"/>
        </w:rPr>
        <w:t xml:space="preserve">Broker Snapshot</w:t>
      </w:r>
    </w:p>
    <w:p>
      <w:pPr>
        <w:spacing w:before="0" w:after="360"/>
        <w:jc w:val="center"/>
      </w:pPr>
      <w:r>
        <w:rPr>
          <w:i/>
          <w:color w:val="44546A"/>
          <w:sz w:val="24"/>
        </w:rPr>
        <w:t xml:space="preserve">Technical Design Document â€” Visualforce to Lightning Web Component Migration (Portwood DocGen)</w:t>
      </w:r>
    </w:p>
    <w:p>
      <w:pPr>
        <w:spacing w:before="0" w:after="140"/>
      </w:pPr>
      <w:r>
        <w:rPr>
          <w:sz w:val="20"/>
        </w:rPr>
        <w:t xml:space="preserve">Prepared for: DeploymentLens / WT Broker Snapshot project. Covers the migration of the WT_BrokerSnapshotDynamic Visualforce page to a mobile-responsive Lightning Web Component that generates the Broker Snapshot PDF through the Portwood DocGen managed package.</w:t>
      </w:r>
    </w:p>
    <w:p>
      <w:pPr>
        <w:spacing w:after="0"/>
        <w:rPr>
          <w:sz w:val="8"/>
        </w:rPr>
      </w:pPr>
    </w:p>
    <w:p>
      <w:pPr>
        <w:spacing w:before="320" w:after="140"/>
        <w:pBdr>
          <w:bottom w:val="single" w:sz="6" w:space="1" w:color="002664"/>
        </w:pBdr>
      </w:pPr>
      <w:r>
        <w:rPr>
          <w:b/>
          <w:color w:val="002664"/>
          <w:sz w:val="30"/>
        </w:rPr>
        <w:t xml:space="preserve">1. Overview</w:t>
      </w:r>
    </w:p>
    <w:p>
      <w:pPr>
        <w:spacing w:before="0" w:after="140"/>
      </w:pPr>
      <w:r>
        <w:rPr>
          <w:sz w:val="20"/>
        </w:rPr>
        <w:t xml:space="preserve">The Account "Broker Snapshot" tab previously rendered one of two Visualforce pages (WT_BrokerSnapshotDynamic.page and WT_BrokerSnapshotExternal.page, both renderAs="pdf") that are not mobile-compatible. This project replaces both with Lightning Web Components that run on any form factor (desktop, Salesforce mobile app, mobile browser) and generate the same Broker Snapshot content as a PDF through Portwood DocGen, using Word (.docx) templates instead of hard-coded Visualforce markup. Sections 1-8 cover the Dynamic variant (WT_BrokerSnapshotDynamic.page's replacement) in full; section 9 covers the External variant (WT_BrokerSnapshotExternal.page's replacement) as an addendum, since it shares most of its design with the Dynamic variant.</w:t>
      </w:r>
    </w:p>
    <w:p>
      <w:pPr>
        <w:spacing w:before="0" w:after="60"/>
        <w:ind w:left="360" w:hanging="180"/>
      </w:pPr>
      <w:r>
        <w:rPr>
          <w:sz w:val="20"/>
        </w:rPr>
        <w:t xml:space="preserve">•  A custom Apex class supplies the merge data (mirrors the existing WT_ServiceTeamDocGenProvider pattern already used in this org), shared by both the Dynamic and External templates.</w:t>
      </w:r>
    </w:p>
    <w:p>
      <w:pPr>
        <w:spacing w:before="0" w:after="60"/>
        <w:ind w:left="360" w:hanging="180"/>
      </w:pPr>
      <w:r>
        <w:rPr>
          <w:sz w:val="20"/>
        </w:rPr>
        <w:t xml:space="preserve">•  A Word template drives the PDF layout, so future field/label changes are a template edit, not an Apex/Visualforce deployment.</w:t>
      </w:r>
    </w:p>
    <w:p>
      <w:pPr>
        <w:spacing w:before="0" w:after="60"/>
        <w:ind w:left="360" w:hanging="180"/>
      </w:pPr>
      <w:r>
        <w:rPr>
          <w:sz w:val="20"/>
        </w:rPr>
        <w:t xml:space="preserve">•  The LWC generates on demand, shows the PDF via a toggle between three preview modes (Salesforce's standard File Preview, an inline pdf.js-based viewer, or a simple direct-URL iframe â€” section 2.3), offers a Download option, shows the most recently generated snapshot on load, and keeps only the two most recent generated files attached to the Account.</w:t>
      </w:r>
    </w:p>
    <w:p>
      <w:pPr>
        <w:spacing w:before="0" w:after="60"/>
        <w:ind w:left="360" w:hanging="180"/>
      </w:pPr>
      <w:r>
        <w:rPr>
          <w:sz w:val="20"/>
        </w:rPr>
        <w:t xml:space="preserve">•  The External variant additionally logs a Broker_Snapshot_External_Usage__c audit record on every generation (see section 9), mirroring the legacy External page's behavior.</w:t>
      </w:r>
    </w:p>
    <w:p>
      <w:pPr>
        <w:spacing w:before="320" w:after="140"/>
        <w:pBdr>
          <w:bottom w:val="single" w:sz="6" w:space="1" w:color="002664"/>
        </w:pBdr>
      </w:pPr>
      <w:r>
        <w:rPr>
          <w:b/>
          <w:color w:val="002664"/>
          <w:sz w:val="30"/>
        </w:rPr>
        <w:t xml:space="preserve">2. Architecture</w:t>
      </w:r>
    </w:p>
    <w:p>
      <w:pPr>
        <w:spacing w:before="220" w:after="100"/>
      </w:pPr>
      <w:r>
        <w:rPr>
          <w:b/>
          <w:color w:val="1F4E79"/>
          <w:sz w:val="24"/>
        </w:rPr>
        <w:t xml:space="preserve">2.1 Component Flow</w:t>
      </w:r>
    </w:p>
    <w:p>
      <w:pPr>
        <w:spacing w:before="0" w:after="140"/>
      </w:pPr>
      <w:r>
        <w:rPr>
          <w:sz w:val="20"/>
        </w:rPr>
        <w:t xml:space="preserve">User clicks Generate in the LWC -&gt; Apex controller resolves the active Portwood template Id from a Custom Metadata Type setting -&gt; Portwood DocGenService merges the template against data returned by the Apex data provider -&gt; the resulting PDF is attached to the Account and read back -&gt; the controller returns the file (a download URL, plus inline base64 for small files) -&gt; the LWC shows a file card and displays the PDF in whichever of its three preview modes is currently selected (section 2.3). On every subsequent page load, the LWC asks the controller for the most recent previously generated snapshot and shows it the same way, so the user sees it (and when it was generated) without regenerating.</w:t>
      </w:r>
    </w:p>
    <w:p>
      <w:pPr>
        <w:spacing w:after="0"/>
        <w:rPr>
          <w:sz w:val="8"/>
        </w:rPr>
      </w:pPr>
    </w:p>
    <w:p>
      <w:pPr>
        <w:spacing w:before="220" w:after="100"/>
      </w:pPr>
      <w:r>
        <w:rPr>
          <w:b/>
          <w:color w:val="1F4E79"/>
          <w:sz w:val="24"/>
        </w:rPr>
        <w:t xml:space="preserve">2.2 Components</w:t>
      </w:r>
    </w:p>
    <w:tbl>
      <w:tblPr>
        <w:tblW w:w="9350" w:type="dxa"/>
        <w:tblBorders>
          <w:top w:val="single" w:sz="4" w:space="0" w:color="B7C6D9"/>
          <w:left w:val="single" w:sz="4" w:space="0" w:color="B7C6D9"/>
          <w:bottom w:val="single" w:sz="4" w:space="0" w:color="B7C6D9"/>
          <w:right w:val="single" w:sz="4" w:space="0" w:color="B7C6D9"/>
          <w:insideH w:val="single" w:sz="4" w:space="0" w:color="B7C6D9"/>
          <w:insideV w:val="single" w:sz="4" w:space="0" w:color="B7C6D9"/>
        </w:tblBorders>
        <w:tblLayout w:type="fixed"/>
        <w:tblLook w:val="0000"/>
      </w:tblPr>
      <w:tblGrid>
        <w:gridCol w:w="3000"/>
        <w:gridCol w:w="1800"/>
        <w:gridCol w:w="4550"/>
      </w:tblGrid>
      <w:tr>
        <w:trPr>
          <w:tblHeader/>
        </w:trPr>
        <w:tc>
          <w:tcPr>
            <w:tcW w:w="3000" w:type="dxa"/>
            <w:shd w:val="clear" w:color="auto" w:fill="002664"/>
          </w:tcPr>
          <w:p>
            <w:pPr>
              <w:spacing w:before="20" w:after="20"/>
            </w:pPr>
            <w:r>
              <w:rPr>
                <w:b/>
                <w:color w:val="FFFFFF"/>
                <w:sz w:val="18"/>
              </w:rPr>
              <w:t xml:space="preserve">Component</w:t>
            </w:r>
          </w:p>
        </w:tc>
        <w:tc>
          <w:tcPr>
            <w:tcW w:w="1800" w:type="dxa"/>
            <w:shd w:val="clear" w:color="auto" w:fill="002664"/>
          </w:tcPr>
          <w:p>
            <w:pPr>
              <w:spacing w:before="20" w:after="20"/>
            </w:pPr>
            <w:r>
              <w:rPr>
                <w:b/>
                <w:color w:val="FFFFFF"/>
                <w:sz w:val="18"/>
              </w:rPr>
              <w:t xml:space="preserve">Type</w:t>
            </w:r>
          </w:p>
        </w:tc>
        <w:tc>
          <w:tcPr>
            <w:tcW w:w="4550" w:type="dxa"/>
            <w:shd w:val="clear" w:color="auto" w:fill="002664"/>
          </w:tcPr>
          <w:p>
            <w:pPr>
              <w:spacing w:before="20" w:after="20"/>
            </w:pPr>
            <w:r>
              <w:rPr>
                <w:b/>
                <w:color w:val="FFFFFF"/>
                <w:sz w:val="18"/>
              </w:rPr>
              <w:t xml:space="preserve">Responsibility</w:t>
            </w:r>
          </w:p>
        </w:tc>
      </w:tr>
      <w:tr>
        <w:tc>
          <w:tcPr>
            <w:tcW w:w="3000" w:type="dxa"/>
          </w:tcPr>
          <w:p>
            <w:pPr>
              <w:spacing w:before="20" w:after="20"/>
            </w:pPr>
            <w:r>
              <w:rPr>
                <w:sz w:val="18"/>
              </w:rPr>
              <w:t xml:space="preserve">WT_BrokerSnapshotDocGenProvider</w:t>
            </w:r>
          </w:p>
        </w:tc>
        <w:tc>
          <w:tcPr>
            <w:tcW w:w="1800" w:type="dxa"/>
          </w:tcPr>
          <w:p>
            <w:pPr>
              <w:spacing w:before="20" w:after="20"/>
            </w:pPr>
            <w:r>
              <w:rPr>
                <w:sz w:val="18"/>
              </w:rPr>
              <w:t xml:space="preserve">Apex class (global)</w:t>
            </w:r>
          </w:p>
        </w:tc>
        <w:tc>
          <w:tcPr>
            <w:tcW w:w="4550" w:type="dxa"/>
          </w:tcPr>
          <w:p>
            <w:pPr>
              <w:spacing w:before="20" w:after="20"/>
            </w:pPr>
            <w:r>
              <w:rPr>
                <w:sz w:val="18"/>
              </w:rPr>
              <w:t xml:space="preserve">Implements portwoodglobal.DocGenDataProvider. Queries the Account (and its lost/top Opportunities) and returns the merge data map keyed by short section/field tags.</w:t>
            </w:r>
          </w:p>
        </w:tc>
      </w:tr>
      <w:tr>
        <w:tc>
          <w:tcPr>
            <w:tcW w:w="3000" w:type="dxa"/>
            <w:shd w:val="clear" w:color="auto" w:fill="F2F5F9"/>
          </w:tcPr>
          <w:p>
            <w:pPr>
              <w:spacing w:before="20" w:after="20"/>
            </w:pPr>
            <w:r>
              <w:rPr>
                <w:sz w:val="18"/>
              </w:rPr>
              <w:t xml:space="preserve">WT_BrokerSnapshotDocGenController</w:t>
            </w:r>
          </w:p>
        </w:tc>
        <w:tc>
          <w:tcPr>
            <w:tcW w:w="1800" w:type="dxa"/>
            <w:shd w:val="clear" w:color="auto" w:fill="F2F5F9"/>
          </w:tcPr>
          <w:p>
            <w:pPr>
              <w:spacing w:before="20" w:after="20"/>
            </w:pPr>
            <w:r>
              <w:rPr>
                <w:sz w:val="18"/>
              </w:rPr>
              <w:t xml:space="preserve">Apex class (public, @AuraEnabled)</w:t>
            </w:r>
          </w:p>
        </w:tc>
        <w:tc>
          <w:tcPr>
            <w:tcW w:w="4550" w:type="dxa"/>
            <w:shd w:val="clear" w:color="auto" w:fill="F2F5F9"/>
          </w:tcPr>
          <w:p>
            <w:pPr>
              <w:spacing w:before="20" w:after="20"/>
            </w:pPr>
            <w:r>
              <w:rPr>
                <w:sz w:val="18"/>
              </w:rPr>
              <w:t xml:space="preserve">LWC-facing controller. Resolves the template Id from WT_Broker_Snapshot_DocGen_Setting__mdt, calls portwoodglobal.DocGenService.generateDocument, attaches the file to the Account, enforces the 2-document retention policy, and exposes the latest generated snapshot.</w:t>
            </w:r>
          </w:p>
        </w:tc>
      </w:tr>
      <w:tr>
        <w:tc>
          <w:tcPr>
            <w:tcW w:w="3000" w:type="dxa"/>
          </w:tcPr>
          <w:p>
            <w:pPr>
              <w:spacing w:before="20" w:after="20"/>
            </w:pPr>
            <w:r>
              <w:rPr>
                <w:sz w:val="18"/>
              </w:rPr>
              <w:t xml:space="preserve">WT_Broker_Snapshot_DocGen_Setting__mdt</w:t>
            </w:r>
          </w:p>
        </w:tc>
        <w:tc>
          <w:tcPr>
            <w:tcW w:w="1800" w:type="dxa"/>
          </w:tcPr>
          <w:p>
            <w:pPr>
              <w:spacing w:before="20" w:after="20"/>
            </w:pPr>
            <w:r>
              <w:rPr>
                <w:sz w:val="18"/>
              </w:rPr>
              <w:t xml:space="preserve">Custom Metadata Type</w:t>
            </w:r>
          </w:p>
        </w:tc>
        <w:tc>
          <w:tcPr>
            <w:tcW w:w="4550" w:type="dxa"/>
          </w:tcPr>
          <w:p>
            <w:pPr>
              <w:spacing w:before="20" w:after="20"/>
            </w:pPr>
            <w:r>
              <w:rPr>
                <w:sz w:val="18"/>
              </w:rPr>
              <w:t xml:space="preserve">Single ("Default") record holding Template_Id__c â€” the active Portwood template's Id. Lets an admin repoint generation at a different template per sandbox/production from Setup, with no Apex change.</w:t>
            </w:r>
          </w:p>
        </w:tc>
      </w:tr>
      <w:tr>
        <w:tc>
          <w:tcPr>
            <w:tcW w:w="3000" w:type="dxa"/>
            <w:shd w:val="clear" w:color="auto" w:fill="F2F5F9"/>
          </w:tcPr>
          <w:p>
            <w:pPr>
              <w:spacing w:before="20" w:after="20"/>
            </w:pPr>
            <w:r>
              <w:rPr>
                <w:sz w:val="18"/>
              </w:rPr>
              <w:t xml:space="preserve">wt_BrokerSnapshotDocGen</w:t>
            </w:r>
          </w:p>
        </w:tc>
        <w:tc>
          <w:tcPr>
            <w:tcW w:w="1800" w:type="dxa"/>
            <w:shd w:val="clear" w:color="auto" w:fill="F2F5F9"/>
          </w:tcPr>
          <w:p>
            <w:pPr>
              <w:spacing w:before="20" w:after="20"/>
            </w:pPr>
            <w:r>
              <w:rPr>
                <w:sz w:val="18"/>
              </w:rPr>
              <w:t xml:space="preserve">Lightning Web Component</w:t>
            </w:r>
          </w:p>
        </w:tc>
        <w:tc>
          <w:tcPr>
            <w:tcW w:w="4550" w:type="dxa"/>
            <w:shd w:val="clear" w:color="auto" w:fill="F2F5F9"/>
          </w:tcPr>
          <w:p>
            <w:pPr>
              <w:spacing w:before="20" w:after="20"/>
            </w:pPr>
            <w:r>
              <w:rPr>
                <w:sz w:val="18"/>
              </w:rPr>
              <w:t xml:space="preserve">Sits on the Account Lightning Record Page. Triggers generation on click, shows a Files-style card (name + generated date), displays the PDF via a 3-way toggle between preview modes (section 2.3), offers Download, and loads the previously generated snapshot on page load.</w:t>
            </w:r>
          </w:p>
        </w:tc>
      </w:tr>
      <w:tr>
        <w:tc>
          <w:tcPr>
            <w:tcW w:w="3000" w:type="dxa"/>
          </w:tcPr>
          <w:p>
            <w:pPr>
              <w:spacing w:before="20" w:after="20"/>
            </w:pPr>
            <w:r>
              <w:rPr>
                <w:sz w:val="18"/>
              </w:rPr>
              <w:t xml:space="preserve">WT_Broker_Snapshot_Template.docx</w:t>
            </w:r>
          </w:p>
        </w:tc>
        <w:tc>
          <w:tcPr>
            <w:tcW w:w="1800" w:type="dxa"/>
          </w:tcPr>
          <w:p>
            <w:pPr>
              <w:spacing w:before="20" w:after="20"/>
            </w:pPr>
            <w:r>
              <w:rPr>
                <w:sz w:val="18"/>
              </w:rPr>
              <w:t xml:space="preserve">Portwood Word Template</w:t>
            </w:r>
          </w:p>
        </w:tc>
        <w:tc>
          <w:tcPr>
            <w:tcW w:w="4550" w:type="dxa"/>
          </w:tcPr>
          <w:p>
            <w:pPr>
              <w:spacing w:before="20" w:after="20"/>
            </w:pPr>
            <w:r>
              <w:rPr>
                <w:sz w:val="18"/>
              </w:rPr>
              <w:t xml:space="preserve">Defines the PDF layout and {merge tags}; bound to WT_BrokerSnapshotDocGenProvider via the template's Apex Data Provider query configuration.</w:t>
            </w:r>
          </w:p>
        </w:tc>
      </w:tr>
      <w:tr>
        <w:tc>
          <w:tcPr>
            <w:tcW w:w="3000" w:type="dxa"/>
            <w:shd w:val="clear" w:color="auto" w:fill="F2F5F9"/>
          </w:tcPr>
          <w:p>
            <w:pPr>
              <w:spacing w:before="20" w:after="20"/>
            </w:pPr>
            <w:r>
              <w:rPr>
                <w:sz w:val="18"/>
              </w:rPr>
              <w:t xml:space="preserve">WT_BrokerSnapshotPdfViewer</w:t>
            </w:r>
          </w:p>
        </w:tc>
        <w:tc>
          <w:tcPr>
            <w:tcW w:w="1800" w:type="dxa"/>
            <w:shd w:val="clear" w:color="auto" w:fill="F2F5F9"/>
          </w:tcPr>
          <w:p>
            <w:pPr>
              <w:spacing w:before="20" w:after="20"/>
            </w:pPr>
            <w:r>
              <w:rPr>
                <w:sz w:val="18"/>
              </w:rPr>
              <w:t xml:space="preserve">Static Resource</w:t>
            </w:r>
          </w:p>
        </w:tc>
        <w:tc>
          <w:tcPr>
            <w:tcW w:w="4550" w:type="dxa"/>
            <w:shd w:val="clear" w:color="auto" w:fill="F2F5F9"/>
          </w:tcPr>
          <w:p>
            <w:pPr>
              <w:spacing w:before="20" w:after="20"/>
            </w:pPr>
            <w:r>
              <w:rPr>
                <w:sz w:val="18"/>
              </w:rPr>
              <w:t xml:space="preserve">A same-origin iframe target for the Inline Viewer preview mode. Bundles only Mozilla pdf.js's core rendering library (build/pdf.mjs + build/pdf.worker.mjs, Apache-2.0, source maps stripped, ~0.6MB zipped) plus a small custom viewer.html/viewer.js written for this project â€” not pdf.js's full prebuilt toolbar/UI app.</w:t>
            </w:r>
          </w:p>
        </w:tc>
      </w:tr>
      <w:tr>
        <w:tc>
          <w:tcPr>
            <w:tcW w:w="3000" w:type="dxa"/>
          </w:tcPr>
          <w:p>
            <w:pPr>
              <w:spacing w:before="20" w:after="20"/>
            </w:pPr>
            <w:r>
              <w:rPr>
                <w:sz w:val="18"/>
              </w:rPr>
              <w:t xml:space="preserve">portwoodglobal (Portwood DocGen)</w:t>
            </w:r>
          </w:p>
        </w:tc>
        <w:tc>
          <w:tcPr>
            <w:tcW w:w="1800" w:type="dxa"/>
          </w:tcPr>
          <w:p>
            <w:pPr>
              <w:spacing w:before="20" w:after="20"/>
            </w:pPr>
            <w:r>
              <w:rPr>
                <w:sz w:val="18"/>
              </w:rPr>
              <w:t xml:space="preserve">Managed package</w:t>
            </w:r>
          </w:p>
        </w:tc>
        <w:tc>
          <w:tcPr>
            <w:tcW w:w="4550" w:type="dxa"/>
          </w:tcPr>
          <w:p>
            <w:pPr>
              <w:spacing w:before="20" w:after="20"/>
            </w:pPr>
            <w:r>
              <w:rPr>
                <w:sz w:val="18"/>
              </w:rPr>
              <w:t xml:space="preserve">Third-party document generation engine. Only its `global` Apex surface (DocGenService.generateDocument / generatePdfBlob family) is called directly by this org's Apex; the Portwood UI is used to author/host the template.</w:t>
            </w:r>
          </w:p>
        </w:tc>
      </w:tr>
    </w:tbl>
    <w:p>
      <w:pPr>
        <w:spacing w:after="0"/>
        <w:rPr>
          <w:sz w:val="8"/>
        </w:rPr>
      </w:pPr>
    </w:p>
    <w:p>
      <w:pPr>
        <w:spacing w:before="220" w:after="100"/>
      </w:pPr>
      <w:r>
        <w:rPr>
          <w:b/>
          <w:color w:val="1F4E79"/>
          <w:sz w:val="24"/>
        </w:rPr>
        <w:t xml:space="preserve">2.3 Three preview modes</w:t>
      </w:r>
    </w:p>
    <w:p>
      <w:pPr>
        <w:spacing w:before="0" w:after="140"/>
      </w:pPr>
      <w:r>
        <w:rPr>
          <w:sz w:val="20"/>
        </w:rPr>
        <w:t xml:space="preserve">Lightning Web Security blocks &lt;iframe src="blob:..."&gt; outright, so a PDF's bytes cannot be embedded via a Blob object URL. Both LWCs offer three ways to show the file, switchable via a button-group toggle, so they can be compared after deploying and narrowed down to one:</w:t>
      </w:r>
    </w:p>
    <w:tbl>
      <w:tblPr>
        <w:tblW w:w="9150" w:type="dxa"/>
        <w:tblBorders>
          <w:top w:val="single" w:sz="4" w:space="0" w:color="B7C6D9"/>
          <w:left w:val="single" w:sz="4" w:space="0" w:color="B7C6D9"/>
          <w:bottom w:val="single" w:sz="4" w:space="0" w:color="B7C6D9"/>
          <w:right w:val="single" w:sz="4" w:space="0" w:color="B7C6D9"/>
          <w:insideH w:val="single" w:sz="4" w:space="0" w:color="B7C6D9"/>
          <w:insideV w:val="single" w:sz="4" w:space="0" w:color="B7C6D9"/>
        </w:tblBorders>
        <w:tblLayout w:type="fixed"/>
        <w:tblLook w:val="0000"/>
      </w:tblPr>
      <w:tblGrid>
        <w:gridCol w:w="1900"/>
        <w:gridCol w:w="4600"/>
        <w:gridCol w:w="2650"/>
      </w:tblGrid>
      <w:tr>
        <w:trPr>
          <w:tblHeader/>
        </w:trPr>
        <w:tc>
          <w:tcPr>
            <w:tcW w:w="1900" w:type="dxa"/>
            <w:shd w:val="clear" w:color="auto" w:fill="002664"/>
          </w:tcPr>
          <w:p>
            <w:pPr>
              <w:spacing w:before="20" w:after="20"/>
            </w:pPr>
            <w:r>
              <w:rPr>
                <w:b/>
                <w:color w:val="FFFFFF"/>
                <w:sz w:val="18"/>
              </w:rPr>
              <w:t xml:space="preserve">Mode</w:t>
            </w:r>
          </w:p>
        </w:tc>
        <w:tc>
          <w:tcPr>
            <w:tcW w:w="4600" w:type="dxa"/>
            <w:shd w:val="clear" w:color="auto" w:fill="002664"/>
          </w:tcPr>
          <w:p>
            <w:pPr>
              <w:spacing w:before="20" w:after="20"/>
            </w:pPr>
            <w:r>
              <w:rPr>
                <w:b/>
                <w:color w:val="FFFFFF"/>
                <w:sz w:val="18"/>
              </w:rPr>
              <w:t xml:space="preserve">Mechanism</w:t>
            </w:r>
          </w:p>
        </w:tc>
        <w:tc>
          <w:tcPr>
            <w:tcW w:w="2650" w:type="dxa"/>
            <w:shd w:val="clear" w:color="auto" w:fill="002664"/>
          </w:tcPr>
          <w:p>
            <w:pPr>
              <w:spacing w:before="20" w:after="20"/>
            </w:pPr>
            <w:r>
              <w:rPr>
                <w:b/>
                <w:color w:val="FFFFFF"/>
                <w:sz w:val="18"/>
              </w:rPr>
              <w:t xml:space="preserve">Availability</w:t>
            </w:r>
          </w:p>
        </w:tc>
      </w:tr>
      <w:tr>
        <w:tc>
          <w:tcPr>
            <w:tcW w:w="1900" w:type="dxa"/>
          </w:tcPr>
          <w:p>
            <w:pPr>
              <w:spacing w:before="20" w:after="20"/>
            </w:pPr>
            <w:r>
              <w:rPr>
                <w:sz w:val="18"/>
              </w:rPr>
              <w:t xml:space="preserve">Standard Preview (default)</w:t>
            </w:r>
          </w:p>
        </w:tc>
        <w:tc>
          <w:tcPr>
            <w:tcW w:w="4600" w:type="dxa"/>
          </w:tcPr>
          <w:p>
            <w:pPr>
              <w:spacing w:before="20" w:after="20"/>
            </w:pPr>
            <w:r>
              <w:rPr>
                <w:sz w:val="18"/>
              </w:rPr>
              <w:t xml:space="preserve">NavigationMixin.Navigate to standard__namedPage / filePreview, passing the ContentDocumentId â€” Salesforce's own File Preview overlay, the same one a Files related list uses.</w:t>
            </w:r>
          </w:p>
        </w:tc>
        <w:tc>
          <w:tcPr>
            <w:tcW w:w="2650" w:type="dxa"/>
          </w:tcPr>
          <w:p>
            <w:pPr>
              <w:spacing w:before="20" w:after="20"/>
            </w:pPr>
            <w:r>
              <w:rPr>
                <w:sz w:val="18"/>
              </w:rPr>
              <w:t xml:space="preserve">Always available; no size limit, no extra dependency, no admin setup.</w:t>
            </w:r>
          </w:p>
        </w:tc>
      </w:tr>
      <w:tr>
        <w:tc>
          <w:tcPr>
            <w:tcW w:w="1900" w:type="dxa"/>
            <w:shd w:val="clear" w:color="auto" w:fill="F2F5F9"/>
          </w:tcPr>
          <w:p>
            <w:pPr>
              <w:spacing w:before="20" w:after="20"/>
            </w:pPr>
            <w:r>
              <w:rPr>
                <w:sz w:val="18"/>
              </w:rPr>
              <w:t xml:space="preserve">Inline (pdf.js)</w:t>
            </w:r>
          </w:p>
        </w:tc>
        <w:tc>
          <w:tcPr>
            <w:tcW w:w="4600" w:type="dxa"/>
            <w:shd w:val="clear" w:color="auto" w:fill="F2F5F9"/>
          </w:tcPr>
          <w:p>
            <w:pPr>
              <w:spacing w:before="20" w:after="20"/>
            </w:pPr>
            <w:r>
              <w:rPr>
                <w:sz w:val="18"/>
              </w:rPr>
              <w:t xml:space="preserve">An &lt;iframe&gt; pointed at the WT_BrokerSnapshotPdfViewer static resource (same-origin https://, so LWS permits it). The LWC waits for the iframe to post {type:"VIEWER_READY"}, then posts {type:"RENDER_PDF", base64} into it via window.postMessage; the viewer decodes the base64 PDF and renders each page onto a &lt;canvas&gt; with pdf.js.</w:t>
            </w:r>
          </w:p>
        </w:tc>
        <w:tc>
          <w:tcPr>
            <w:tcW w:w="2650" w:type="dxa"/>
            <w:shd w:val="clear" w:color="auto" w:fill="F2F5F9"/>
          </w:tcPr>
          <w:p>
            <w:pPr>
              <w:spacing w:before="20" w:after="20"/>
            </w:pPr>
            <w:r>
              <w:rPr>
                <w:sz w:val="18"/>
              </w:rPr>
              <w:t xml:space="preserve">Only when the controller returned inline base64 data â€” files at/under ~3.5MB (inlineDownloadMaxBytes). Larger files show a fallback message. No admin setup required.</w:t>
            </w:r>
          </w:p>
        </w:tc>
      </w:tr>
      <w:tr>
        <w:tc>
          <w:tcPr>
            <w:tcW w:w="1900" w:type="dxa"/>
          </w:tcPr>
          <w:p>
            <w:pPr>
              <w:spacing w:before="20" w:after="20"/>
            </w:pPr>
            <w:r>
              <w:rPr>
                <w:sz w:val="18"/>
              </w:rPr>
              <w:t xml:space="preserve">Inline (Simple)</w:t>
            </w:r>
          </w:p>
        </w:tc>
        <w:tc>
          <w:tcPr>
            <w:tcW w:w="4600" w:type="dxa"/>
          </w:tcPr>
          <w:p>
            <w:pPr>
              <w:spacing w:before="20" w:after="20"/>
            </w:pPr>
            <w:r>
              <w:rPr>
                <w:sz w:val="18"/>
              </w:rPr>
              <w:t xml:space="preserve">An &lt;iframe src={downloadUrl}&gt; pointed directly at the file's own servlet download URL (/sfc/servlet.shepherd/version/download/{id} â€” https://, same-origin, never blocked by LWS). This is Salesforce's own documented pattern from the Salesforce Developers blog "Display PDF Files with Lightning Web Components".</w:t>
            </w:r>
          </w:p>
        </w:tc>
        <w:tc>
          <w:tcPr>
            <w:tcW w:w="2650" w:type="dxa"/>
          </w:tcPr>
          <w:p>
            <w:pPr>
              <w:spacing w:before="20" w:after="20"/>
            </w:pPr>
            <w:r>
              <w:rPr>
                <w:sz w:val="18"/>
              </w:rPr>
              <w:t xml:space="preserve">No size limit and no static resource â€” but only renders inline if Setup -&gt; Security -&gt; File Upload and Download Security -&gt; PDF is set to Execute in Browser (org-wide, admin-controlled; Hybrid is not enough â€” it still downloads modern Salesforce Files). Until set, this mode downloads the file instead of showing it.</w:t>
            </w:r>
          </w:p>
        </w:tc>
      </w:tr>
    </w:tbl>
    <w:p>
      <w:pPr>
        <w:spacing w:after="0"/>
        <w:rPr>
          <w:sz w:val="8"/>
        </w:rPr>
      </w:pPr>
    </w:p>
    <w:p>
      <w:pPr>
        <w:spacing w:before="0" w:after="140"/>
      </w:pPr>
      <w:r>
        <w:rPr>
          <w:sz w:val="20"/>
        </w:rPr>
        <w:t xml:space="preserve">Why postMessage rather than direct DOM access for the pdf.js mode: Winter '23 onward, LWS permits a Lightning Web Component to read/traverse a same-origin iframe's content, but the base64 payload here can be large and the viewer's own module script (viewer.js) needs to run its own decode/render logic regardless â€” posting the data across is simpler and keeps the viewer fully self-contained (it could just as easily be loaded standalone for testing). The viewer's message listener checks event.origin against window.origin before acting, and the LWC does the same on the return channel, so only this same-origin iframe pair can drive each other.</w:t>
      </w:r>
    </w:p>
    <w:p>
      <w:pPr>
        <w:spacing w:before="0" w:after="140"/>
      </w:pPr>
      <w:r>
        <w:rPr>
          <w:sz w:val="20"/>
        </w:rPr>
        <w:t xml:space="preserve">The Inline (Simple) mode needs no such protocol at all: the iframe's src is template-bound straight to the same downloadUrl the Download button uses, so whether it renders inline or triggers a download is determined entirely by the org's File Upload and Download Security setting, not by any code in this component.</w:t>
      </w:r>
    </w:p>
    <w:p>
      <w:pPr>
        <w:pageBreakBefore/>
      </w:pPr>
    </w:p>
    <w:p>
      <w:pPr>
        <w:spacing w:before="320" w:after="140"/>
        <w:pBdr>
          <w:bottom w:val="single" w:sz="6" w:space="1" w:color="002664"/>
        </w:pBdr>
      </w:pPr>
      <w:r>
        <w:rPr>
          <w:b/>
          <w:color w:val="002664"/>
          <w:sz w:val="30"/>
        </w:rPr>
        <w:t xml:space="preserve">3. Data Flow</w:t>
      </w:r>
    </w:p>
    <w:p>
      <w:pPr>
        <w:spacing w:before="220" w:after="100"/>
      </w:pPr>
      <w:r>
        <w:rPr>
          <w:b/>
          <w:color w:val="1F4E79"/>
          <w:sz w:val="24"/>
        </w:rPr>
        <w:t xml:space="preserve">3.1 Generate a new snapshot (button click)</w:t>
      </w:r>
    </w:p>
    <w:p>
      <w:pPr>
        <w:spacing w:before="0" w:after="60"/>
        <w:ind w:left="360" w:hanging="360"/>
      </w:pPr>
      <w:r>
        <w:rPr>
          <w:sz w:val="20"/>
        </w:rPr>
        <w:t xml:space="preserve">1.  User clicks "Generate Broker Snapshot PDF" on the Account record page.</w:t>
      </w:r>
    </w:p>
    <w:p>
      <w:pPr>
        <w:spacing w:before="0" w:after="60"/>
        <w:ind w:left="360" w:hanging="360"/>
      </w:pPr>
      <w:r>
        <w:rPr>
          <w:sz w:val="20"/>
        </w:rPr>
        <w:t xml:space="preserve">2.  wt_BrokerSnapshotDocGen calls WT_BrokerSnapshotDocGenController.generate(recordId).</w:t>
      </w:r>
    </w:p>
    <w:p>
      <w:pPr>
        <w:spacing w:before="0" w:after="60"/>
        <w:ind w:left="360" w:hanging="360"/>
      </w:pPr>
      <w:r>
        <w:rPr>
          <w:sz w:val="20"/>
        </w:rPr>
        <w:t xml:space="preserve">3.  The controller reads WT_Broker_Snapshot_DocGen_Setting__mdt.getInstance('Default').Template_Id__c to get the active Portwood template Id.</w:t>
      </w:r>
    </w:p>
    <w:p>
      <w:pPr>
        <w:spacing w:before="0" w:after="60"/>
        <w:ind w:left="360" w:hanging="360"/>
      </w:pPr>
      <w:r>
        <w:rPr>
          <w:sz w:val="20"/>
        </w:rPr>
        <w:t xml:space="preserve">4.  The controller calls portwoodglobal.DocGenService.generateDocument(templateId, recordId, 'PDF', 'Broker Snapshot', recordId) â€” the last argument attaches the generated file to the Account's Files.</w:t>
      </w:r>
    </w:p>
    <w:p>
      <w:pPr>
        <w:spacing w:before="0" w:after="60"/>
        <w:ind w:left="360" w:hanging="360"/>
      </w:pPr>
      <w:r>
        <w:rPr>
          <w:sz w:val="20"/>
        </w:rPr>
        <w:t xml:space="preserve">5.  Portwood's merge engine calls WT_BrokerSnapshotDocGenProvider.getData(recordId) to obtain the merge map, renders the Word template to PDF, and returns a ContentDocumentId.</w:t>
      </w:r>
    </w:p>
    <w:p>
      <w:pPr>
        <w:spacing w:before="0" w:after="60"/>
        <w:ind w:left="360" w:hanging="360"/>
      </w:pPr>
      <w:r>
        <w:rPr>
          <w:sz w:val="20"/>
        </w:rPr>
        <w:t xml:space="preserve">6.  The controller reads the new ContentVersion back, builds the result DTO (fileName, mimeType, base64 for small files, a download URL, and the generated timestamp), and calls the retention step (3.3).</w:t>
      </w:r>
    </w:p>
    <w:p>
      <w:pPr>
        <w:spacing w:before="0" w:after="60"/>
        <w:ind w:left="360" w:hanging="360"/>
      </w:pPr>
      <w:r>
        <w:rPr>
          <w:sz w:val="20"/>
        </w:rPr>
        <w:t xml:space="preserve">7.  The LWC updates its file card (name, generated date) and shows the PDF using whichever of the three preview modes is currently selected (section 2.3), and enables the Download button.</w:t>
      </w:r>
    </w:p>
    <w:p>
      <w:pPr>
        <w:spacing w:after="0"/>
        <w:rPr>
          <w:sz w:val="8"/>
        </w:rPr>
      </w:pPr>
    </w:p>
    <w:p>
      <w:pPr>
        <w:spacing w:before="220" w:after="100"/>
      </w:pPr>
      <w:r>
        <w:rPr>
          <w:b/>
          <w:color w:val="1F4E79"/>
          <w:sz w:val="24"/>
        </w:rPr>
        <w:t xml:space="preserve">3.2 Load the most recent snapshot (page load)</w:t>
      </w:r>
    </w:p>
    <w:p>
      <w:pPr>
        <w:spacing w:before="0" w:after="60"/>
        <w:ind w:left="360" w:hanging="360"/>
      </w:pPr>
      <w:r>
        <w:rPr>
          <w:sz w:val="20"/>
        </w:rPr>
        <w:t xml:space="preserve">1.  When the record page injects recordId into the component, wt_BrokerSnapshotDocGen calls WT_BrokerSnapshotDocGenController.getLatestBrokerSnapshot(recordId).</w:t>
      </w:r>
    </w:p>
    <w:p>
      <w:pPr>
        <w:spacing w:before="0" w:after="60"/>
        <w:ind w:left="360" w:hanging="360"/>
      </w:pPr>
      <w:r>
        <w:rPr>
          <w:sz w:val="20"/>
        </w:rPr>
        <w:t xml:space="preserve">2.  The controller queries ContentDocumentLink for the Account, filtered to files titled "Broker Snapshot", ordered by the linked ContentDocument's CreatedDate (newest first), and returns the first row through the same result DTO used by generate().</w:t>
      </w:r>
    </w:p>
    <w:p>
      <w:pPr>
        <w:spacing w:before="0" w:after="60"/>
        <w:ind w:left="360" w:hanging="360"/>
      </w:pPr>
      <w:r>
        <w:rPr>
          <w:sz w:val="20"/>
        </w:rPr>
        <w:t xml:space="preserve">3.  If a previous snapshot exists, the LWC shows the file card ("Last generated on &lt;date/time&gt;") and automatically shows it in the same preview mode used after Generate â€” no PDF is regenerated just to view it.</w:t>
      </w:r>
    </w:p>
    <w:p>
      <w:pPr>
        <w:spacing w:before="0" w:after="60"/>
        <w:ind w:left="360" w:hanging="360"/>
      </w:pPr>
      <w:r>
        <w:rPr>
          <w:sz w:val="20"/>
        </w:rPr>
        <w:t xml:space="preserve">4.  If none exists yet, the LWC shows a simple "No Broker Snapshot has been generated yet" message and waits for the user to click Generate.</w:t>
      </w:r>
    </w:p>
    <w:p>
      <w:pPr>
        <w:spacing w:after="0"/>
        <w:rPr>
          <w:sz w:val="8"/>
        </w:rPr>
      </w:pPr>
    </w:p>
    <w:p>
      <w:pPr>
        <w:spacing w:before="220" w:after="100"/>
      </w:pPr>
      <w:r>
        <w:rPr>
          <w:b/>
          <w:color w:val="1F4E79"/>
          <w:sz w:val="24"/>
        </w:rPr>
        <w:t xml:space="preserve">3.3 Retention policy â€” keep only the last 2 generated documents</w:t>
      </w:r>
    </w:p>
    <w:p>
      <w:pPr>
        <w:spacing w:before="0" w:after="140"/>
      </w:pPr>
      <w:r>
        <w:rPr>
          <w:sz w:val="20"/>
        </w:rPr>
        <w:t xml:space="preserve">Every successful generate() call re-applies this policy immediately afterward, so no separate scheduled job is required:</w:t>
      </w:r>
    </w:p>
    <w:p>
      <w:pPr>
        <w:spacing w:before="0" w:after="60"/>
        <w:ind w:left="360" w:hanging="360"/>
      </w:pPr>
      <w:r>
        <w:rPr>
          <w:sz w:val="20"/>
        </w:rPr>
        <w:t xml:space="preserve">1.  Query all ContentDocumentLink rows for the Account where the linked ContentDocument.Title = "Broker Snapshot", ordered newest first.</w:t>
      </w:r>
    </w:p>
    <w:p>
      <w:pPr>
        <w:spacing w:before="0" w:after="60"/>
        <w:ind w:left="360" w:hanging="360"/>
      </w:pPr>
      <w:r>
        <w:rPr>
          <w:sz w:val="20"/>
        </w:rPr>
        <w:t xml:space="preserve">2.  If more than 2 exist, collect the ContentDocumentIds beyond the newest 2.</w:t>
      </w:r>
    </w:p>
    <w:p>
      <w:pPr>
        <w:spacing w:before="0" w:after="60"/>
        <w:ind w:left="360" w:hanging="360"/>
      </w:pPr>
      <w:r>
        <w:rPr>
          <w:sz w:val="20"/>
        </w:rPr>
        <w:t xml:space="preserve">3.  Delete those ContentDocument records (as the running user, respecting their delete permission) â€” deleting a ContentDocument cascades to its ContentVersion(s) and ContentDocumentLink(s).</w:t>
      </w:r>
    </w:p>
    <w:p>
      <w:pPr>
        <w:spacing w:before="0" w:after="140"/>
      </w:pPr>
      <w:r>
        <w:rPr>
          <w:sz w:val="20"/>
        </w:rPr>
        <w:t xml:space="preserve">Only files titled exactly "Broker Snapshot" are ever touched by this cleanup â€” any other file a user manually attaches to the Account is left alone. A cleanup failure is caught and logged rather than surfaced as an error, so it never hides the fact that the newly generated PDF is ready.</w:t>
      </w:r>
    </w:p>
    <w:p>
      <w:pPr>
        <w:pageBreakBefore/>
      </w:pPr>
    </w:p>
    <w:p>
      <w:pPr>
        <w:spacing w:before="320" w:after="140"/>
        <w:pBdr>
          <w:bottom w:val="single" w:sz="6" w:space="1" w:color="002664"/>
        </w:pBdr>
      </w:pPr>
      <w:r>
        <w:rPr>
          <w:b/>
          <w:color w:val="002664"/>
          <w:sz w:val="30"/>
        </w:rPr>
        <w:t xml:space="preserve">4. Merge Field Mapping</w:t>
      </w:r>
    </w:p>
    <w:p>
      <w:pPr>
        <w:spacing w:before="0" w:after="140"/>
      </w:pPr>
      <w:r>
        <w:rPr>
          <w:sz w:val="20"/>
        </w:rPr>
        <w:t xml:space="preserve">WT_BrokerSnapshotDocGenProvider.getData() returns a Map&lt;String,Object&gt; of short section codes, each holding a nested map of short field codes (plus two child-loop sections). The table below maps every field back to its source on the legacy Visualforce page and the exact {tag} used in the Word template. Format specifiers (:currency, :percent, :number, :checkbox, :MM/dd/yyyy) are applied by the template, not the Apex class â€” the provider always returns the raw typed value.</w:t>
      </w:r>
    </w:p>
    <w:p>
      <w:pPr>
        <w:spacing w:before="0" w:after="140"/>
      </w:pPr>
      <w:r>
        <w:rPr>
          <w:sz w:val="20"/>
        </w:rPr>
        <w:t xml:space="preserve">The template's column layout mirrors the legacy page section-by-section: General, Scorecard, e-Complete, Compensation, Cross Selling and Added Value render as 3 label/value pairs per row (6 columns); Production and Historical Production render as 1 pair per row, matching the legacy page's single-column sections. All of it lives in one continuous Word table (using gridSpan for the single-pair rows) rather than several separate tables, so every section stays aligned instead of drifting apart the way visually-identical-in-Word-but-separate tables can in Portwood's renderer (User Guide 5.8.1, "phantom width").</w:t>
      </w:r>
    </w:p>
    <w:p>
      <w:pPr>
        <w:spacing w:after="0"/>
        <w:rPr>
          <w:sz w:val="8"/>
        </w:rPr>
      </w:pPr>
    </w:p>
    <w:tbl>
      <w:tblPr>
        <w:tblW w:w="8350" w:type="dxa"/>
        <w:tblBorders>
          <w:top w:val="single" w:sz="4" w:space="0" w:color="B7C6D9"/>
          <w:left w:val="single" w:sz="4" w:space="0" w:color="B7C6D9"/>
          <w:bottom w:val="single" w:sz="4" w:space="0" w:color="B7C6D9"/>
          <w:right w:val="single" w:sz="4" w:space="0" w:color="B7C6D9"/>
          <w:insideH w:val="single" w:sz="4" w:space="0" w:color="B7C6D9"/>
          <w:insideV w:val="single" w:sz="4" w:space="0" w:color="B7C6D9"/>
        </w:tblBorders>
        <w:tblLayout w:type="fixed"/>
        <w:tblLook w:val="0000"/>
      </w:tblPr>
      <w:tblGrid>
        <w:gridCol w:w="1500"/>
        <w:gridCol w:w="3800"/>
        <w:gridCol w:w="3050"/>
      </w:tblGrid>
      <w:tr>
        <w:trPr>
          <w:tblHeader/>
        </w:trPr>
        <w:tc>
          <w:tcPr>
            <w:tcW w:w="1500" w:type="dxa"/>
            <w:shd w:val="clear" w:color="auto" w:fill="002664"/>
          </w:tcPr>
          <w:p>
            <w:pPr>
              <w:spacing w:before="20" w:after="20"/>
            </w:pPr>
            <w:r>
              <w:rPr>
                <w:b/>
                <w:color w:val="FFFFFF"/>
                <w:sz w:val="18"/>
              </w:rPr>
              <w:t xml:space="preserve">Section</w:t>
            </w:r>
          </w:p>
        </w:tc>
        <w:tc>
          <w:tcPr>
            <w:tcW w:w="3800" w:type="dxa"/>
            <w:shd w:val="clear" w:color="auto" w:fill="002664"/>
          </w:tcPr>
          <w:p>
            <w:pPr>
              <w:spacing w:before="20" w:after="20"/>
            </w:pPr>
            <w:r>
              <w:rPr>
                <w:b/>
                <w:color w:val="FFFFFF"/>
                <w:sz w:val="18"/>
              </w:rPr>
              <w:t xml:space="preserve">Field Label (legacy page)</w:t>
            </w:r>
          </w:p>
        </w:tc>
        <w:tc>
          <w:tcPr>
            <w:tcW w:w="3050" w:type="dxa"/>
            <w:shd w:val="clear" w:color="auto" w:fill="002664"/>
          </w:tcPr>
          <w:p>
            <w:pPr>
              <w:spacing w:before="20" w:after="20"/>
            </w:pPr>
            <w:r>
              <w:rPr>
                <w:b/>
                <w:color w:val="FFFFFF"/>
                <w:sz w:val="18"/>
              </w:rPr>
              <w:t xml:space="preserve">Merge Tag</w:t>
            </w:r>
          </w:p>
        </w:tc>
      </w:tr>
      <w:tr>
        <w:tc>
          <w:tcPr>
            <w:tcW w:w="1500" w:type="dxa"/>
          </w:tcPr>
          <w:p>
            <w:pPr>
              <w:spacing w:before="20" w:after="20"/>
            </w:pPr>
            <w:r>
              <w:rPr>
                <w:sz w:val="18"/>
              </w:rPr>
              <w:t xml:space="preserve">General</w:t>
            </w:r>
          </w:p>
        </w:tc>
        <w:tc>
          <w:tcPr>
            <w:tcW w:w="3800" w:type="dxa"/>
          </w:tcPr>
          <w:p>
            <w:pPr>
              <w:spacing w:before="20" w:after="20"/>
            </w:pPr>
            <w:r>
              <w:rPr>
                <w:sz w:val="18"/>
              </w:rPr>
              <w:t xml:space="preserve">Account Name</w:t>
            </w:r>
          </w:p>
        </w:tc>
        <w:tc>
          <w:tcPr>
            <w:tcW w:w="3050" w:type="dxa"/>
          </w:tcPr>
          <w:p>
            <w:pPr>
              <w:spacing w:before="20" w:after="20"/>
            </w:pPr>
            <w:r>
              <w:rPr>
                <w:sz w:val="18"/>
              </w:rPr>
              <w:t xml:space="preserve">{gen.AcctName}</w:t>
            </w:r>
          </w:p>
        </w:tc>
      </w:tr>
      <w:tr>
        <w:tc>
          <w:tcPr>
            <w:tcW w:w="1500" w:type="dxa"/>
            <w:shd w:val="clear" w:color="auto" w:fill="F2F5F9"/>
          </w:tcPr>
          <w:p>
            <w:pPr>
              <w:spacing w:before="20" w:after="20"/>
            </w:pPr>
            <w:r>
              <w:rPr>
                <w:sz w:val="18"/>
              </w:rPr>
              <w:t xml:space="preserve">General</w:t>
            </w:r>
          </w:p>
        </w:tc>
        <w:tc>
          <w:tcPr>
            <w:tcW w:w="3800" w:type="dxa"/>
            <w:shd w:val="clear" w:color="auto" w:fill="F2F5F9"/>
          </w:tcPr>
          <w:p>
            <w:pPr>
              <w:spacing w:before="20" w:after="20"/>
            </w:pPr>
            <w:r>
              <w:rPr>
                <w:sz w:val="18"/>
              </w:rPr>
              <w:t xml:space="preserve">Website</w:t>
            </w:r>
          </w:p>
        </w:tc>
        <w:tc>
          <w:tcPr>
            <w:tcW w:w="3050" w:type="dxa"/>
            <w:shd w:val="clear" w:color="auto" w:fill="F2F5F9"/>
          </w:tcPr>
          <w:p>
            <w:pPr>
              <w:spacing w:before="20" w:after="20"/>
            </w:pPr>
            <w:r>
              <w:rPr>
                <w:sz w:val="18"/>
              </w:rPr>
              <w:t xml:space="preserve">{gen.Web}</w:t>
            </w:r>
          </w:p>
        </w:tc>
      </w:tr>
      <w:tr>
        <w:tc>
          <w:tcPr>
            <w:tcW w:w="1500" w:type="dxa"/>
          </w:tcPr>
          <w:p>
            <w:pPr>
              <w:spacing w:before="20" w:after="20"/>
            </w:pPr>
            <w:r>
              <w:rPr>
                <w:sz w:val="18"/>
              </w:rPr>
              <w:t xml:space="preserve">General</w:t>
            </w:r>
          </w:p>
        </w:tc>
        <w:tc>
          <w:tcPr>
            <w:tcW w:w="3800" w:type="dxa"/>
          </w:tcPr>
          <w:p>
            <w:pPr>
              <w:spacing w:before="20" w:after="20"/>
            </w:pPr>
            <w:r>
              <w:rPr>
                <w:sz w:val="18"/>
              </w:rPr>
              <w:t xml:space="preserve">Account Executive Name</w:t>
            </w:r>
          </w:p>
        </w:tc>
        <w:tc>
          <w:tcPr>
            <w:tcW w:w="3050" w:type="dxa"/>
          </w:tcPr>
          <w:p>
            <w:pPr>
              <w:spacing w:before="20" w:after="20"/>
            </w:pPr>
            <w:r>
              <w:rPr>
                <w:sz w:val="18"/>
              </w:rPr>
              <w:t xml:space="preserve">{gen.AcExecName}</w:t>
            </w:r>
          </w:p>
        </w:tc>
      </w:tr>
      <w:tr>
        <w:tc>
          <w:tcPr>
            <w:tcW w:w="1500" w:type="dxa"/>
            <w:shd w:val="clear" w:color="auto" w:fill="F2F5F9"/>
          </w:tcPr>
          <w:p>
            <w:pPr>
              <w:spacing w:before="20" w:after="20"/>
            </w:pPr>
            <w:r>
              <w:rPr>
                <w:sz w:val="18"/>
              </w:rPr>
              <w:t xml:space="preserve">General</w:t>
            </w:r>
          </w:p>
        </w:tc>
        <w:tc>
          <w:tcPr>
            <w:tcW w:w="3800" w:type="dxa"/>
            <w:shd w:val="clear" w:color="auto" w:fill="F2F5F9"/>
          </w:tcPr>
          <w:p>
            <w:pPr>
              <w:spacing w:before="20" w:after="20"/>
            </w:pPr>
            <w:r>
              <w:rPr>
                <w:sz w:val="18"/>
              </w:rPr>
              <w:t xml:space="preserve">Account Executive Email</w:t>
            </w:r>
          </w:p>
        </w:tc>
        <w:tc>
          <w:tcPr>
            <w:tcW w:w="3050" w:type="dxa"/>
            <w:shd w:val="clear" w:color="auto" w:fill="F2F5F9"/>
          </w:tcPr>
          <w:p>
            <w:pPr>
              <w:spacing w:before="20" w:after="20"/>
            </w:pPr>
            <w:r>
              <w:rPr>
                <w:sz w:val="18"/>
              </w:rPr>
              <w:t xml:space="preserve">{gen.AcExecEmail}</w:t>
            </w:r>
          </w:p>
        </w:tc>
      </w:tr>
      <w:tr>
        <w:tc>
          <w:tcPr>
            <w:tcW w:w="1500" w:type="dxa"/>
          </w:tcPr>
          <w:p>
            <w:pPr>
              <w:spacing w:before="20" w:after="20"/>
            </w:pPr>
            <w:r>
              <w:rPr>
                <w:sz w:val="18"/>
              </w:rPr>
              <w:t xml:space="preserve">General</w:t>
            </w:r>
          </w:p>
        </w:tc>
        <w:tc>
          <w:tcPr>
            <w:tcW w:w="3800" w:type="dxa"/>
          </w:tcPr>
          <w:p>
            <w:pPr>
              <w:spacing w:before="20" w:after="20"/>
            </w:pPr>
            <w:r>
              <w:rPr>
                <w:sz w:val="18"/>
              </w:rPr>
              <w:t xml:space="preserve">Account Executive Phone #</w:t>
            </w:r>
          </w:p>
        </w:tc>
        <w:tc>
          <w:tcPr>
            <w:tcW w:w="3050" w:type="dxa"/>
          </w:tcPr>
          <w:p>
            <w:pPr>
              <w:spacing w:before="20" w:after="20"/>
            </w:pPr>
            <w:r>
              <w:rPr>
                <w:sz w:val="18"/>
              </w:rPr>
              <w:t xml:space="preserve">{gen.AcExecPhone}</w:t>
            </w:r>
          </w:p>
        </w:tc>
      </w:tr>
      <w:tr>
        <w:tc>
          <w:tcPr>
            <w:tcW w:w="1500" w:type="dxa"/>
            <w:shd w:val="clear" w:color="auto" w:fill="F2F5F9"/>
          </w:tcPr>
          <w:p>
            <w:pPr>
              <w:spacing w:before="20" w:after="20"/>
            </w:pPr>
            <w:r>
              <w:rPr>
                <w:sz w:val="18"/>
              </w:rPr>
              <w:t xml:space="preserve">General</w:t>
            </w:r>
          </w:p>
        </w:tc>
        <w:tc>
          <w:tcPr>
            <w:tcW w:w="3800" w:type="dxa"/>
            <w:shd w:val="clear" w:color="auto" w:fill="F2F5F9"/>
          </w:tcPr>
          <w:p>
            <w:pPr>
              <w:spacing w:before="20" w:after="20"/>
            </w:pPr>
            <w:r>
              <w:rPr>
                <w:sz w:val="18"/>
              </w:rPr>
              <w:t xml:space="preserve">FIRST / Competitor Usage</w:t>
            </w:r>
          </w:p>
        </w:tc>
        <w:tc>
          <w:tcPr>
            <w:tcW w:w="3050" w:type="dxa"/>
            <w:shd w:val="clear" w:color="auto" w:fill="F2F5F9"/>
          </w:tcPr>
          <w:p>
            <w:pPr>
              <w:spacing w:before="20" w:after="20"/>
            </w:pPr>
            <w:r>
              <w:rPr>
                <w:sz w:val="18"/>
              </w:rPr>
              <w:t xml:space="preserve">{gen.CompUsage}</w:t>
            </w:r>
          </w:p>
        </w:tc>
      </w:tr>
      <w:tr>
        <w:tc>
          <w:tcPr>
            <w:tcW w:w="1500" w:type="dxa"/>
          </w:tcPr>
          <w:p>
            <w:pPr>
              <w:spacing w:before="20" w:after="20"/>
            </w:pPr>
            <w:r>
              <w:rPr>
                <w:sz w:val="18"/>
              </w:rPr>
              <w:t xml:space="preserve">General</w:t>
            </w:r>
          </w:p>
        </w:tc>
        <w:tc>
          <w:tcPr>
            <w:tcW w:w="3800" w:type="dxa"/>
          </w:tcPr>
          <w:p>
            <w:pPr>
              <w:spacing w:before="20" w:after="20"/>
            </w:pPr>
            <w:r>
              <w:rPr>
                <w:sz w:val="18"/>
              </w:rPr>
              <w:t xml:space="preserve">FIRST Competitor</w:t>
            </w:r>
          </w:p>
        </w:tc>
        <w:tc>
          <w:tcPr>
            <w:tcW w:w="3050" w:type="dxa"/>
          </w:tcPr>
          <w:p>
            <w:pPr>
              <w:spacing w:before="20" w:after="20"/>
            </w:pPr>
            <w:r>
              <w:rPr>
                <w:sz w:val="18"/>
              </w:rPr>
              <w:t xml:space="preserve">{gen.CompName}</w:t>
            </w:r>
          </w:p>
        </w:tc>
      </w:tr>
      <w:tr>
        <w:tc>
          <w:tcPr>
            <w:tcW w:w="1500" w:type="dxa"/>
            <w:shd w:val="clear" w:color="auto" w:fill="F2F5F9"/>
          </w:tcPr>
          <w:p>
            <w:pPr>
              <w:spacing w:before="20" w:after="20"/>
            </w:pPr>
            <w:r>
              <w:rPr>
                <w:sz w:val="18"/>
              </w:rPr>
              <w:t xml:space="preserve">General</w:t>
            </w:r>
          </w:p>
        </w:tc>
        <w:tc>
          <w:tcPr>
            <w:tcW w:w="3800" w:type="dxa"/>
            <w:shd w:val="clear" w:color="auto" w:fill="F2F5F9"/>
          </w:tcPr>
          <w:p>
            <w:pPr>
              <w:spacing w:before="20" w:after="20"/>
            </w:pPr>
            <w:r>
              <w:rPr>
                <w:sz w:val="18"/>
              </w:rPr>
              <w:t xml:space="preserve">Fee Reduction Approver</w:t>
            </w:r>
          </w:p>
        </w:tc>
        <w:tc>
          <w:tcPr>
            <w:tcW w:w="3050" w:type="dxa"/>
            <w:shd w:val="clear" w:color="auto" w:fill="F2F5F9"/>
          </w:tcPr>
          <w:p>
            <w:pPr>
              <w:spacing w:before="20" w:after="20"/>
            </w:pPr>
            <w:r>
              <w:rPr>
                <w:sz w:val="18"/>
              </w:rPr>
              <w:t xml:space="preserve">{gen.FeeRedApp}</w:t>
            </w:r>
          </w:p>
        </w:tc>
      </w:tr>
      <w:tr>
        <w:tc>
          <w:tcPr>
            <w:tcW w:w="1500" w:type="dxa"/>
          </w:tcPr>
          <w:p>
            <w:pPr>
              <w:spacing w:before="20" w:after="20"/>
            </w:pPr>
            <w:r>
              <w:rPr>
                <w:sz w:val="18"/>
              </w:rPr>
              <w:t xml:space="preserve">Scorecard</w:t>
            </w:r>
          </w:p>
        </w:tc>
        <w:tc>
          <w:tcPr>
            <w:tcW w:w="3800" w:type="dxa"/>
          </w:tcPr>
          <w:p>
            <w:pPr>
              <w:spacing w:before="20" w:after="20"/>
            </w:pPr>
            <w:r>
              <w:rPr>
                <w:sz w:val="18"/>
              </w:rPr>
              <w:t xml:space="preserve">Funding Method</w:t>
            </w:r>
          </w:p>
        </w:tc>
        <w:tc>
          <w:tcPr>
            <w:tcW w:w="3050" w:type="dxa"/>
          </w:tcPr>
          <w:p>
            <w:pPr>
              <w:spacing w:before="20" w:after="20"/>
            </w:pPr>
            <w:r>
              <w:rPr>
                <w:sz w:val="18"/>
              </w:rPr>
              <w:t xml:space="preserve">{scard.FundMethod}</w:t>
            </w:r>
          </w:p>
        </w:tc>
      </w:tr>
      <w:tr>
        <w:tc>
          <w:tcPr>
            <w:tcW w:w="1500" w:type="dxa"/>
            <w:shd w:val="clear" w:color="auto" w:fill="F2F5F9"/>
          </w:tcPr>
          <w:p>
            <w:pPr>
              <w:spacing w:before="20" w:after="20"/>
            </w:pPr>
            <w:r>
              <w:rPr>
                <w:sz w:val="18"/>
              </w:rPr>
              <w:t xml:space="preserve">Scorecard</w:t>
            </w:r>
          </w:p>
        </w:tc>
        <w:tc>
          <w:tcPr>
            <w:tcW w:w="3800" w:type="dxa"/>
            <w:shd w:val="clear" w:color="auto" w:fill="F2F5F9"/>
          </w:tcPr>
          <w:p>
            <w:pPr>
              <w:spacing w:before="20" w:after="20"/>
            </w:pPr>
            <w:r>
              <w:rPr>
                <w:sz w:val="18"/>
              </w:rPr>
              <w:t xml:space="preserve">Funding Party</w:t>
            </w:r>
          </w:p>
        </w:tc>
        <w:tc>
          <w:tcPr>
            <w:tcW w:w="3050" w:type="dxa"/>
            <w:shd w:val="clear" w:color="auto" w:fill="F2F5F9"/>
          </w:tcPr>
          <w:p>
            <w:pPr>
              <w:spacing w:before="20" w:after="20"/>
            </w:pPr>
            <w:r>
              <w:rPr>
                <w:sz w:val="18"/>
              </w:rPr>
              <w:t xml:space="preserve">{scard.FundParty}</w:t>
            </w:r>
          </w:p>
        </w:tc>
      </w:tr>
      <w:tr>
        <w:tc>
          <w:tcPr>
            <w:tcW w:w="1500" w:type="dxa"/>
          </w:tcPr>
          <w:p>
            <w:pPr>
              <w:spacing w:before="20" w:after="20"/>
            </w:pPr>
            <w:r>
              <w:rPr>
                <w:sz w:val="18"/>
              </w:rPr>
              <w:t xml:space="preserve">Scorecard</w:t>
            </w:r>
          </w:p>
        </w:tc>
        <w:tc>
          <w:tcPr>
            <w:tcW w:w="3800" w:type="dxa"/>
          </w:tcPr>
          <w:p>
            <w:pPr>
              <w:spacing w:before="20" w:after="20"/>
            </w:pPr>
            <w:r>
              <w:rPr>
                <w:sz w:val="18"/>
              </w:rPr>
              <w:t xml:space="preserve">Funding Delay</w:t>
            </w:r>
          </w:p>
        </w:tc>
        <w:tc>
          <w:tcPr>
            <w:tcW w:w="3050" w:type="dxa"/>
          </w:tcPr>
          <w:p>
            <w:pPr>
              <w:spacing w:before="20" w:after="20"/>
            </w:pPr>
            <w:r>
              <w:rPr>
                <w:sz w:val="18"/>
              </w:rPr>
              <w:t xml:space="preserve">{scard.FundDelay}</w:t>
            </w:r>
          </w:p>
        </w:tc>
      </w:tr>
      <w:tr>
        <w:tc>
          <w:tcPr>
            <w:tcW w:w="1500" w:type="dxa"/>
            <w:shd w:val="clear" w:color="auto" w:fill="F2F5F9"/>
          </w:tcPr>
          <w:p>
            <w:pPr>
              <w:spacing w:before="20" w:after="20"/>
            </w:pPr>
            <w:r>
              <w:rPr>
                <w:sz w:val="18"/>
              </w:rPr>
              <w:t xml:space="preserve">Scorecard</w:t>
            </w:r>
          </w:p>
        </w:tc>
        <w:tc>
          <w:tcPr>
            <w:tcW w:w="3800" w:type="dxa"/>
            <w:shd w:val="clear" w:color="auto" w:fill="F2F5F9"/>
          </w:tcPr>
          <w:p>
            <w:pPr>
              <w:spacing w:before="20" w:after="20"/>
            </w:pPr>
            <w:r>
              <w:rPr>
                <w:sz w:val="18"/>
              </w:rPr>
              <w:t xml:space="preserve">Policy Commission Funding</w:t>
            </w:r>
          </w:p>
        </w:tc>
        <w:tc>
          <w:tcPr>
            <w:tcW w:w="3050" w:type="dxa"/>
            <w:shd w:val="clear" w:color="auto" w:fill="F2F5F9"/>
          </w:tcPr>
          <w:p>
            <w:pPr>
              <w:spacing w:before="20" w:after="20"/>
            </w:pPr>
            <w:r>
              <w:rPr>
                <w:sz w:val="18"/>
              </w:rPr>
              <w:t xml:space="preserve">{scard.PolComFund:checkbox}</w:t>
            </w:r>
          </w:p>
        </w:tc>
      </w:tr>
      <w:tr>
        <w:tc>
          <w:tcPr>
            <w:tcW w:w="1500" w:type="dxa"/>
          </w:tcPr>
          <w:p>
            <w:pPr>
              <w:spacing w:before="20" w:after="20"/>
            </w:pPr>
            <w:r>
              <w:rPr>
                <w:sz w:val="18"/>
              </w:rPr>
              <w:t xml:space="preserve">Scorecard</w:t>
            </w:r>
          </w:p>
        </w:tc>
        <w:tc>
          <w:tcPr>
            <w:tcW w:w="3800" w:type="dxa"/>
          </w:tcPr>
          <w:p>
            <w:pPr>
              <w:spacing w:before="20" w:after="20"/>
            </w:pPr>
            <w:r>
              <w:rPr>
                <w:sz w:val="18"/>
              </w:rPr>
              <w:t xml:space="preserve">e-Notice Delivery</w:t>
            </w:r>
          </w:p>
        </w:tc>
        <w:tc>
          <w:tcPr>
            <w:tcW w:w="3050" w:type="dxa"/>
          </w:tcPr>
          <w:p>
            <w:pPr>
              <w:spacing w:before="20" w:after="20"/>
            </w:pPr>
            <w:r>
              <w:rPr>
                <w:sz w:val="18"/>
              </w:rPr>
              <w:t xml:space="preserve">{scard.ENoticeDel}</w:t>
            </w:r>
          </w:p>
        </w:tc>
      </w:tr>
      <w:tr>
        <w:tc>
          <w:tcPr>
            <w:tcW w:w="1500" w:type="dxa"/>
            <w:shd w:val="clear" w:color="auto" w:fill="F2F5F9"/>
          </w:tcPr>
          <w:p>
            <w:pPr>
              <w:spacing w:before="20" w:after="20"/>
            </w:pPr>
            <w:r>
              <w:rPr>
                <w:sz w:val="18"/>
              </w:rPr>
              <w:t xml:space="preserve">Scorecard</w:t>
            </w:r>
          </w:p>
        </w:tc>
        <w:tc>
          <w:tcPr>
            <w:tcW w:w="3800" w:type="dxa"/>
            <w:shd w:val="clear" w:color="auto" w:fill="F2F5F9"/>
          </w:tcPr>
          <w:p>
            <w:pPr>
              <w:spacing w:before="20" w:after="20"/>
            </w:pPr>
            <w:r>
              <w:rPr>
                <w:sz w:val="18"/>
              </w:rPr>
              <w:t xml:space="preserve">Individual User Log Ins</w:t>
            </w:r>
          </w:p>
        </w:tc>
        <w:tc>
          <w:tcPr>
            <w:tcW w:w="3050" w:type="dxa"/>
            <w:shd w:val="clear" w:color="auto" w:fill="F2F5F9"/>
          </w:tcPr>
          <w:p>
            <w:pPr>
              <w:spacing w:before="20" w:after="20"/>
            </w:pPr>
            <w:r>
              <w:rPr>
                <w:sz w:val="18"/>
              </w:rPr>
              <w:t xml:space="preserve">{scard.IndUserLogin:checkbox}</w:t>
            </w:r>
          </w:p>
        </w:tc>
      </w:tr>
      <w:tr>
        <w:tc>
          <w:tcPr>
            <w:tcW w:w="1500" w:type="dxa"/>
          </w:tcPr>
          <w:p>
            <w:pPr>
              <w:spacing w:before="20" w:after="20"/>
            </w:pPr>
            <w:r>
              <w:rPr>
                <w:sz w:val="18"/>
              </w:rPr>
              <w:t xml:space="preserve">Scorecard</w:t>
            </w:r>
          </w:p>
        </w:tc>
        <w:tc>
          <w:tcPr>
            <w:tcW w:w="3800" w:type="dxa"/>
          </w:tcPr>
          <w:p>
            <w:pPr>
              <w:spacing w:before="20" w:after="20"/>
            </w:pPr>
            <w:r>
              <w:rPr>
                <w:sz w:val="18"/>
              </w:rPr>
              <w:t xml:space="preserve">Global User Log In</w:t>
            </w:r>
          </w:p>
        </w:tc>
        <w:tc>
          <w:tcPr>
            <w:tcW w:w="3050" w:type="dxa"/>
          </w:tcPr>
          <w:p>
            <w:pPr>
              <w:spacing w:before="20" w:after="20"/>
            </w:pPr>
            <w:r>
              <w:rPr>
                <w:sz w:val="18"/>
              </w:rPr>
              <w:t xml:space="preserve">{scard.GlblUserLogin:checkbox}</w:t>
            </w:r>
          </w:p>
        </w:tc>
      </w:tr>
      <w:tr>
        <w:tc>
          <w:tcPr>
            <w:tcW w:w="1500" w:type="dxa"/>
            <w:shd w:val="clear" w:color="auto" w:fill="F2F5F9"/>
          </w:tcPr>
          <w:p>
            <w:pPr>
              <w:spacing w:before="20" w:after="20"/>
            </w:pPr>
            <w:r>
              <w:rPr>
                <w:sz w:val="18"/>
              </w:rPr>
              <w:t xml:space="preserve">Scorecard</w:t>
            </w:r>
          </w:p>
        </w:tc>
        <w:tc>
          <w:tcPr>
            <w:tcW w:w="3800" w:type="dxa"/>
            <w:shd w:val="clear" w:color="auto" w:fill="F2F5F9"/>
          </w:tcPr>
          <w:p>
            <w:pPr>
              <w:spacing w:before="20" w:after="20"/>
            </w:pPr>
            <w:r>
              <w:rPr>
                <w:sz w:val="18"/>
              </w:rPr>
              <w:t xml:space="preserve">(Agency Software) Integrations</w:t>
            </w:r>
          </w:p>
        </w:tc>
        <w:tc>
          <w:tcPr>
            <w:tcW w:w="3050" w:type="dxa"/>
            <w:shd w:val="clear" w:color="auto" w:fill="F2F5F9"/>
          </w:tcPr>
          <w:p>
            <w:pPr>
              <w:spacing w:before="20" w:after="20"/>
            </w:pPr>
            <w:r>
              <w:rPr>
                <w:sz w:val="18"/>
              </w:rPr>
              <w:t xml:space="preserve">{scard.AgSoftInteg}</w:t>
            </w:r>
          </w:p>
        </w:tc>
      </w:tr>
      <w:tr>
        <w:tc>
          <w:tcPr>
            <w:tcW w:w="1500" w:type="dxa"/>
          </w:tcPr>
          <w:p>
            <w:pPr>
              <w:spacing w:before="20" w:after="20"/>
            </w:pPr>
            <w:r>
              <w:rPr>
                <w:sz w:val="18"/>
              </w:rPr>
              <w:t xml:space="preserve">Scorecard</w:t>
            </w:r>
          </w:p>
        </w:tc>
        <w:tc>
          <w:tcPr>
            <w:tcW w:w="3800" w:type="dxa"/>
          </w:tcPr>
          <w:p>
            <w:pPr>
              <w:spacing w:before="20" w:after="20"/>
            </w:pPr>
            <w:r>
              <w:rPr>
                <w:sz w:val="18"/>
              </w:rPr>
              <w:t xml:space="preserve">CRB Setup</w:t>
            </w:r>
          </w:p>
        </w:tc>
        <w:tc>
          <w:tcPr>
            <w:tcW w:w="3050" w:type="dxa"/>
          </w:tcPr>
          <w:p>
            <w:pPr>
              <w:spacing w:before="20" w:after="20"/>
            </w:pPr>
            <w:r>
              <w:rPr>
                <w:sz w:val="18"/>
              </w:rPr>
              <w:t xml:space="preserve">{scard.CrbSetup:checkbox}</w:t>
            </w:r>
          </w:p>
        </w:tc>
      </w:tr>
      <w:tr>
        <w:tc>
          <w:tcPr>
            <w:tcW w:w="1500" w:type="dxa"/>
            <w:shd w:val="clear" w:color="auto" w:fill="F2F5F9"/>
          </w:tcPr>
          <w:p>
            <w:pPr>
              <w:spacing w:before="20" w:after="20"/>
            </w:pPr>
            <w:r>
              <w:rPr>
                <w:sz w:val="18"/>
              </w:rPr>
              <w:t xml:space="preserve">Scorecard</w:t>
            </w:r>
          </w:p>
        </w:tc>
        <w:tc>
          <w:tcPr>
            <w:tcW w:w="3800" w:type="dxa"/>
            <w:shd w:val="clear" w:color="auto" w:fill="F2F5F9"/>
          </w:tcPr>
          <w:p>
            <w:pPr>
              <w:spacing w:before="20" w:after="20"/>
            </w:pPr>
            <w:r>
              <w:rPr>
                <w:sz w:val="18"/>
              </w:rPr>
              <w:t xml:space="preserve">Personal Lines</w:t>
            </w:r>
          </w:p>
        </w:tc>
        <w:tc>
          <w:tcPr>
            <w:tcW w:w="3050" w:type="dxa"/>
            <w:shd w:val="clear" w:color="auto" w:fill="F2F5F9"/>
          </w:tcPr>
          <w:p>
            <w:pPr>
              <w:spacing w:before="20" w:after="20"/>
            </w:pPr>
            <w:r>
              <w:rPr>
                <w:sz w:val="18"/>
              </w:rPr>
              <w:t xml:space="preserve">{scard.PersLines:checkbox}</w:t>
            </w:r>
          </w:p>
        </w:tc>
      </w:tr>
      <w:tr>
        <w:tc>
          <w:tcPr>
            <w:tcW w:w="1500" w:type="dxa"/>
          </w:tcPr>
          <w:p>
            <w:pPr>
              <w:spacing w:before="20" w:after="20"/>
            </w:pPr>
            <w:r>
              <w:rPr>
                <w:sz w:val="18"/>
              </w:rPr>
              <w:t xml:space="preserve">Scorecard</w:t>
            </w:r>
          </w:p>
        </w:tc>
        <w:tc>
          <w:tcPr>
            <w:tcW w:w="3800" w:type="dxa"/>
          </w:tcPr>
          <w:p>
            <w:pPr>
              <w:spacing w:before="20" w:after="20"/>
            </w:pPr>
            <w:r>
              <w:rPr>
                <w:sz w:val="18"/>
              </w:rPr>
              <w:t xml:space="preserve">Quoting Authority</w:t>
            </w:r>
          </w:p>
        </w:tc>
        <w:tc>
          <w:tcPr>
            <w:tcW w:w="3050" w:type="dxa"/>
          </w:tcPr>
          <w:p>
            <w:pPr>
              <w:spacing w:before="20" w:after="20"/>
            </w:pPr>
            <w:r>
              <w:rPr>
                <w:sz w:val="18"/>
              </w:rPr>
              <w:t xml:space="preserve">{scard.QuoteAuth}</w:t>
            </w:r>
          </w:p>
        </w:tc>
      </w:tr>
      <w:tr>
        <w:tc>
          <w:tcPr>
            <w:tcW w:w="1500" w:type="dxa"/>
            <w:shd w:val="clear" w:color="auto" w:fill="F2F5F9"/>
          </w:tcPr>
          <w:p>
            <w:pPr>
              <w:spacing w:before="20" w:after="20"/>
            </w:pPr>
            <w:r>
              <w:rPr>
                <w:sz w:val="18"/>
              </w:rPr>
              <w:t xml:space="preserve">e-Complete</w:t>
            </w:r>
          </w:p>
        </w:tc>
        <w:tc>
          <w:tcPr>
            <w:tcW w:w="3800" w:type="dxa"/>
            <w:shd w:val="clear" w:color="auto" w:fill="F2F5F9"/>
          </w:tcPr>
          <w:p>
            <w:pPr>
              <w:spacing w:before="20" w:after="20"/>
            </w:pPr>
            <w:r>
              <w:rPr>
                <w:sz w:val="18"/>
              </w:rPr>
              <w:t xml:space="preserve">e-Complete</w:t>
            </w:r>
          </w:p>
        </w:tc>
        <w:tc>
          <w:tcPr>
            <w:tcW w:w="3050" w:type="dxa"/>
            <w:shd w:val="clear" w:color="auto" w:fill="F2F5F9"/>
          </w:tcPr>
          <w:p>
            <w:pPr>
              <w:spacing w:before="20" w:after="20"/>
            </w:pPr>
            <w:r>
              <w:rPr>
                <w:sz w:val="18"/>
              </w:rPr>
              <w:t xml:space="preserve">{ecomp.EComp:checkbox}</w:t>
            </w:r>
          </w:p>
        </w:tc>
      </w:tr>
      <w:tr>
        <w:tc>
          <w:tcPr>
            <w:tcW w:w="1500" w:type="dxa"/>
          </w:tcPr>
          <w:p>
            <w:pPr>
              <w:spacing w:before="20" w:after="20"/>
            </w:pPr>
            <w:r>
              <w:rPr>
                <w:sz w:val="18"/>
              </w:rPr>
              <w:t xml:space="preserve">e-Complete</w:t>
            </w:r>
          </w:p>
        </w:tc>
        <w:tc>
          <w:tcPr>
            <w:tcW w:w="3800" w:type="dxa"/>
          </w:tcPr>
          <w:p>
            <w:pPr>
              <w:spacing w:before="20" w:after="20"/>
            </w:pPr>
            <w:r>
              <w:rPr>
                <w:sz w:val="18"/>
              </w:rPr>
              <w:t xml:space="preserve">Auto Booking</w:t>
            </w:r>
          </w:p>
        </w:tc>
        <w:tc>
          <w:tcPr>
            <w:tcW w:w="3050" w:type="dxa"/>
          </w:tcPr>
          <w:p>
            <w:pPr>
              <w:spacing w:before="20" w:after="20"/>
            </w:pPr>
            <w:r>
              <w:rPr>
                <w:sz w:val="18"/>
              </w:rPr>
              <w:t xml:space="preserve">{ecomp.AutoBook:checkbox}</w:t>
            </w:r>
          </w:p>
        </w:tc>
      </w:tr>
      <w:tr>
        <w:tc>
          <w:tcPr>
            <w:tcW w:w="1500" w:type="dxa"/>
            <w:shd w:val="clear" w:color="auto" w:fill="F2F5F9"/>
          </w:tcPr>
          <w:p>
            <w:pPr>
              <w:spacing w:before="20" w:after="20"/>
            </w:pPr>
            <w:r>
              <w:rPr>
                <w:sz w:val="18"/>
              </w:rPr>
              <w:t xml:space="preserve">e-Complete</w:t>
            </w:r>
          </w:p>
        </w:tc>
        <w:tc>
          <w:tcPr>
            <w:tcW w:w="3800" w:type="dxa"/>
            <w:shd w:val="clear" w:color="auto" w:fill="F2F5F9"/>
          </w:tcPr>
          <w:p>
            <w:pPr>
              <w:spacing w:before="20" w:after="20"/>
            </w:pPr>
            <w:r>
              <w:rPr>
                <w:sz w:val="18"/>
              </w:rPr>
              <w:t xml:space="preserve">Auto Signature</w:t>
            </w:r>
          </w:p>
        </w:tc>
        <w:tc>
          <w:tcPr>
            <w:tcW w:w="3050" w:type="dxa"/>
            <w:shd w:val="clear" w:color="auto" w:fill="F2F5F9"/>
          </w:tcPr>
          <w:p>
            <w:pPr>
              <w:spacing w:before="20" w:after="20"/>
            </w:pPr>
            <w:r>
              <w:rPr>
                <w:sz w:val="18"/>
              </w:rPr>
              <w:t xml:space="preserve">{ecomp.AutoSign:checkbox}</w:t>
            </w:r>
          </w:p>
        </w:tc>
      </w:tr>
      <w:tr>
        <w:tc>
          <w:tcPr>
            <w:tcW w:w="1500" w:type="dxa"/>
          </w:tcPr>
          <w:p>
            <w:pPr>
              <w:spacing w:before="20" w:after="20"/>
            </w:pPr>
            <w:r>
              <w:rPr>
                <w:sz w:val="18"/>
              </w:rPr>
              <w:t xml:space="preserve">e-Complete</w:t>
            </w:r>
          </w:p>
        </w:tc>
        <w:tc>
          <w:tcPr>
            <w:tcW w:w="3800" w:type="dxa"/>
          </w:tcPr>
          <w:p>
            <w:pPr>
              <w:spacing w:before="20" w:after="20"/>
            </w:pPr>
            <w:r>
              <w:rPr>
                <w:sz w:val="18"/>
              </w:rPr>
              <w:t xml:space="preserve">e-Complete Co-Branding</w:t>
            </w:r>
          </w:p>
        </w:tc>
        <w:tc>
          <w:tcPr>
            <w:tcW w:w="3050" w:type="dxa"/>
          </w:tcPr>
          <w:p>
            <w:pPr>
              <w:spacing w:before="20" w:after="20"/>
            </w:pPr>
            <w:r>
              <w:rPr>
                <w:sz w:val="18"/>
              </w:rPr>
              <w:t xml:space="preserve">{ecomp.ECompCoBrand:checkbox}</w:t>
            </w:r>
          </w:p>
        </w:tc>
      </w:tr>
      <w:tr>
        <w:tc>
          <w:tcPr>
            <w:tcW w:w="1500" w:type="dxa"/>
            <w:shd w:val="clear" w:color="auto" w:fill="F2F5F9"/>
          </w:tcPr>
          <w:p>
            <w:pPr>
              <w:spacing w:before="20" w:after="20"/>
            </w:pPr>
            <w:r>
              <w:rPr>
                <w:sz w:val="18"/>
              </w:rPr>
              <w:t xml:space="preserve">e-Complete</w:t>
            </w:r>
          </w:p>
        </w:tc>
        <w:tc>
          <w:tcPr>
            <w:tcW w:w="3800" w:type="dxa"/>
            <w:shd w:val="clear" w:color="auto" w:fill="F2F5F9"/>
          </w:tcPr>
          <w:p>
            <w:pPr>
              <w:spacing w:before="20" w:after="20"/>
            </w:pPr>
            <w:r>
              <w:rPr>
                <w:sz w:val="18"/>
              </w:rPr>
              <w:t xml:space="preserve">FIF Collects DP</w:t>
            </w:r>
          </w:p>
        </w:tc>
        <w:tc>
          <w:tcPr>
            <w:tcW w:w="3050" w:type="dxa"/>
            <w:shd w:val="clear" w:color="auto" w:fill="F2F5F9"/>
          </w:tcPr>
          <w:p>
            <w:pPr>
              <w:spacing w:before="20" w:after="20"/>
            </w:pPr>
            <w:r>
              <w:rPr>
                <w:sz w:val="18"/>
              </w:rPr>
              <w:t xml:space="preserve">{ecomp.FifCollDp:checkbox}</w:t>
            </w:r>
          </w:p>
        </w:tc>
      </w:tr>
      <w:tr>
        <w:tc>
          <w:tcPr>
            <w:tcW w:w="1500" w:type="dxa"/>
          </w:tcPr>
          <w:p>
            <w:pPr>
              <w:spacing w:before="20" w:after="20"/>
            </w:pPr>
            <w:r>
              <w:rPr>
                <w:sz w:val="18"/>
              </w:rPr>
              <w:t xml:space="preserve">e-Complete</w:t>
            </w:r>
          </w:p>
        </w:tc>
        <w:tc>
          <w:tcPr>
            <w:tcW w:w="3800" w:type="dxa"/>
          </w:tcPr>
          <w:p>
            <w:pPr>
              <w:spacing w:before="20" w:after="20"/>
            </w:pPr>
            <w:r>
              <w:rPr>
                <w:sz w:val="18"/>
              </w:rPr>
              <w:t xml:space="preserve"># of e-Complete Quotes YTD</w:t>
            </w:r>
          </w:p>
        </w:tc>
        <w:tc>
          <w:tcPr>
            <w:tcW w:w="3050" w:type="dxa"/>
          </w:tcPr>
          <w:p>
            <w:pPr>
              <w:spacing w:before="20" w:after="20"/>
            </w:pPr>
            <w:r>
              <w:rPr>
                <w:sz w:val="18"/>
              </w:rPr>
              <w:t xml:space="preserve">{ecomp.ECompQtsYtd:number}</w:t>
            </w:r>
          </w:p>
        </w:tc>
      </w:tr>
      <w:tr>
        <w:tc>
          <w:tcPr>
            <w:tcW w:w="1500" w:type="dxa"/>
            <w:shd w:val="clear" w:color="auto" w:fill="F2F5F9"/>
          </w:tcPr>
          <w:p>
            <w:pPr>
              <w:spacing w:before="20" w:after="20"/>
            </w:pPr>
            <w:r>
              <w:rPr>
                <w:sz w:val="18"/>
              </w:rPr>
              <w:t xml:space="preserve">e-Complete</w:t>
            </w:r>
          </w:p>
        </w:tc>
        <w:tc>
          <w:tcPr>
            <w:tcW w:w="3800" w:type="dxa"/>
            <w:shd w:val="clear" w:color="auto" w:fill="F2F5F9"/>
          </w:tcPr>
          <w:p>
            <w:pPr>
              <w:spacing w:before="20" w:after="20"/>
            </w:pPr>
            <w:r>
              <w:rPr>
                <w:sz w:val="18"/>
              </w:rPr>
              <w:t xml:space="preserve">PIF</w:t>
            </w:r>
          </w:p>
        </w:tc>
        <w:tc>
          <w:tcPr>
            <w:tcW w:w="3050" w:type="dxa"/>
            <w:shd w:val="clear" w:color="auto" w:fill="F2F5F9"/>
          </w:tcPr>
          <w:p>
            <w:pPr>
              <w:spacing w:before="20" w:after="20"/>
            </w:pPr>
            <w:r>
              <w:rPr>
                <w:sz w:val="18"/>
              </w:rPr>
              <w:t xml:space="preserve">{ecomp.Pif:checkbox}</w:t>
            </w:r>
          </w:p>
        </w:tc>
      </w:tr>
      <w:tr>
        <w:tc>
          <w:tcPr>
            <w:tcW w:w="1500" w:type="dxa"/>
          </w:tcPr>
          <w:p>
            <w:pPr>
              <w:spacing w:before="20" w:after="20"/>
            </w:pPr>
            <w:r>
              <w:rPr>
                <w:sz w:val="18"/>
              </w:rPr>
              <w:t xml:space="preserve">e-Complete</w:t>
            </w:r>
          </w:p>
        </w:tc>
        <w:tc>
          <w:tcPr>
            <w:tcW w:w="3800" w:type="dxa"/>
          </w:tcPr>
          <w:p>
            <w:pPr>
              <w:spacing w:before="20" w:after="20"/>
            </w:pPr>
            <w:r>
              <w:rPr>
                <w:sz w:val="18"/>
              </w:rPr>
              <w:t xml:space="preserve">FIF Default Collects</w:t>
            </w:r>
          </w:p>
        </w:tc>
        <w:tc>
          <w:tcPr>
            <w:tcW w:w="3050" w:type="dxa"/>
          </w:tcPr>
          <w:p>
            <w:pPr>
              <w:spacing w:before="20" w:after="20"/>
            </w:pPr>
            <w:r>
              <w:rPr>
                <w:sz w:val="18"/>
              </w:rPr>
              <w:t xml:space="preserve">{ecomp.FifDefColl:checkbox}</w:t>
            </w:r>
          </w:p>
        </w:tc>
      </w:tr>
      <w:tr>
        <w:tc>
          <w:tcPr>
            <w:tcW w:w="1500" w:type="dxa"/>
            <w:shd w:val="clear" w:color="auto" w:fill="F2F5F9"/>
          </w:tcPr>
          <w:p>
            <w:pPr>
              <w:spacing w:before="20" w:after="20"/>
            </w:pPr>
            <w:r>
              <w:rPr>
                <w:sz w:val="18"/>
              </w:rPr>
              <w:t xml:space="preserve">Compensation</w:t>
            </w:r>
          </w:p>
        </w:tc>
        <w:tc>
          <w:tcPr>
            <w:tcW w:w="3800" w:type="dxa"/>
            <w:shd w:val="clear" w:color="auto" w:fill="F2F5F9"/>
          </w:tcPr>
          <w:p>
            <w:pPr>
              <w:spacing w:before="20" w:after="20"/>
            </w:pPr>
            <w:r>
              <w:rPr>
                <w:sz w:val="18"/>
              </w:rPr>
              <w:t xml:space="preserve">FIRST Rewards</w:t>
            </w:r>
          </w:p>
        </w:tc>
        <w:tc>
          <w:tcPr>
            <w:tcW w:w="3050" w:type="dxa"/>
            <w:shd w:val="clear" w:color="auto" w:fill="F2F5F9"/>
          </w:tcPr>
          <w:p>
            <w:pPr>
              <w:spacing w:before="20" w:after="20"/>
            </w:pPr>
            <w:r>
              <w:rPr>
                <w:sz w:val="18"/>
              </w:rPr>
              <w:t xml:space="preserve">{comp.FstRewards}</w:t>
            </w:r>
          </w:p>
        </w:tc>
      </w:tr>
      <w:tr>
        <w:tc>
          <w:tcPr>
            <w:tcW w:w="1500" w:type="dxa"/>
          </w:tcPr>
          <w:p>
            <w:pPr>
              <w:spacing w:before="20" w:after="20"/>
            </w:pPr>
            <w:r>
              <w:rPr>
                <w:sz w:val="18"/>
              </w:rPr>
              <w:t xml:space="preserve">Compensation</w:t>
            </w:r>
          </w:p>
        </w:tc>
        <w:tc>
          <w:tcPr>
            <w:tcW w:w="3800" w:type="dxa"/>
          </w:tcPr>
          <w:p>
            <w:pPr>
              <w:spacing w:before="20" w:after="20"/>
            </w:pPr>
            <w:r>
              <w:rPr>
                <w:sz w:val="18"/>
              </w:rPr>
              <w:t xml:space="preserve">New York Service Agreement</w:t>
            </w:r>
          </w:p>
        </w:tc>
        <w:tc>
          <w:tcPr>
            <w:tcW w:w="3050" w:type="dxa"/>
          </w:tcPr>
          <w:p>
            <w:pPr>
              <w:spacing w:before="20" w:after="20"/>
            </w:pPr>
            <w:r>
              <w:rPr>
                <w:sz w:val="18"/>
              </w:rPr>
              <w:t xml:space="preserve">{comp.NyServAgr}</w:t>
            </w:r>
          </w:p>
        </w:tc>
      </w:tr>
      <w:tr>
        <w:tc>
          <w:tcPr>
            <w:tcW w:w="1500" w:type="dxa"/>
            <w:shd w:val="clear" w:color="auto" w:fill="F2F5F9"/>
          </w:tcPr>
          <w:p>
            <w:pPr>
              <w:spacing w:before="20" w:after="20"/>
            </w:pPr>
            <w:r>
              <w:rPr>
                <w:sz w:val="18"/>
              </w:rPr>
              <w:t xml:space="preserve">Compensation</w:t>
            </w:r>
          </w:p>
        </w:tc>
        <w:tc>
          <w:tcPr>
            <w:tcW w:w="3800" w:type="dxa"/>
            <w:shd w:val="clear" w:color="auto" w:fill="F2F5F9"/>
          </w:tcPr>
          <w:p>
            <w:pPr>
              <w:spacing w:before="20" w:after="20"/>
            </w:pPr>
            <w:r>
              <w:rPr>
                <w:sz w:val="18"/>
              </w:rPr>
              <w:t xml:space="preserve">Fee Payment Frequency</w:t>
            </w:r>
          </w:p>
        </w:tc>
        <w:tc>
          <w:tcPr>
            <w:tcW w:w="3050" w:type="dxa"/>
            <w:shd w:val="clear" w:color="auto" w:fill="F2F5F9"/>
          </w:tcPr>
          <w:p>
            <w:pPr>
              <w:spacing w:before="20" w:after="20"/>
            </w:pPr>
            <w:r>
              <w:rPr>
                <w:sz w:val="18"/>
              </w:rPr>
              <w:t xml:space="preserve">{comp.FeePayFreq}</w:t>
            </w:r>
          </w:p>
        </w:tc>
      </w:tr>
      <w:tr>
        <w:tc>
          <w:tcPr>
            <w:tcW w:w="1500" w:type="dxa"/>
          </w:tcPr>
          <w:p>
            <w:pPr>
              <w:spacing w:before="20" w:after="20"/>
            </w:pPr>
            <w:r>
              <w:rPr>
                <w:sz w:val="18"/>
              </w:rPr>
              <w:t xml:space="preserve">Compensation</w:t>
            </w:r>
          </w:p>
        </w:tc>
        <w:tc>
          <w:tcPr>
            <w:tcW w:w="3800" w:type="dxa"/>
          </w:tcPr>
          <w:p>
            <w:pPr>
              <w:spacing w:before="20" w:after="20"/>
            </w:pPr>
            <w:r>
              <w:rPr>
                <w:sz w:val="18"/>
              </w:rPr>
              <w:t xml:space="preserve">Pre-Paid Agreement</w:t>
            </w:r>
          </w:p>
        </w:tc>
        <w:tc>
          <w:tcPr>
            <w:tcW w:w="3050" w:type="dxa"/>
          </w:tcPr>
          <w:p>
            <w:pPr>
              <w:spacing w:before="20" w:after="20"/>
            </w:pPr>
            <w:r>
              <w:rPr>
                <w:sz w:val="18"/>
              </w:rPr>
              <w:t xml:space="preserve">{comp.PrePaidAgr}</w:t>
            </w:r>
          </w:p>
        </w:tc>
      </w:tr>
      <w:tr>
        <w:tc>
          <w:tcPr>
            <w:tcW w:w="1500" w:type="dxa"/>
            <w:shd w:val="clear" w:color="auto" w:fill="F2F5F9"/>
          </w:tcPr>
          <w:p>
            <w:pPr>
              <w:spacing w:before="20" w:after="20"/>
            </w:pPr>
            <w:r>
              <w:rPr>
                <w:sz w:val="18"/>
              </w:rPr>
              <w:t xml:space="preserve">Compensation</w:t>
            </w:r>
          </w:p>
        </w:tc>
        <w:tc>
          <w:tcPr>
            <w:tcW w:w="3800" w:type="dxa"/>
            <w:shd w:val="clear" w:color="auto" w:fill="F2F5F9"/>
          </w:tcPr>
          <w:p>
            <w:pPr>
              <w:spacing w:before="20" w:after="20"/>
            </w:pPr>
            <w:r>
              <w:rPr>
                <w:sz w:val="18"/>
              </w:rPr>
              <w:t xml:space="preserve">Pre-Paid Remaining Balance</w:t>
            </w:r>
          </w:p>
        </w:tc>
        <w:tc>
          <w:tcPr>
            <w:tcW w:w="3050" w:type="dxa"/>
            <w:shd w:val="clear" w:color="auto" w:fill="F2F5F9"/>
          </w:tcPr>
          <w:p>
            <w:pPr>
              <w:spacing w:before="20" w:after="20"/>
            </w:pPr>
            <w:r>
              <w:rPr>
                <w:sz w:val="18"/>
              </w:rPr>
              <w:t xml:space="preserve">{comp.PrePaidBal:currency}</w:t>
            </w:r>
          </w:p>
        </w:tc>
      </w:tr>
      <w:tr>
        <w:tc>
          <w:tcPr>
            <w:tcW w:w="1500" w:type="dxa"/>
          </w:tcPr>
          <w:p>
            <w:pPr>
              <w:spacing w:before="20" w:after="20"/>
            </w:pPr>
            <w:r>
              <w:rPr>
                <w:sz w:val="18"/>
              </w:rPr>
              <w:t xml:space="preserve">Compensation</w:t>
            </w:r>
          </w:p>
        </w:tc>
        <w:tc>
          <w:tcPr>
            <w:tcW w:w="3800" w:type="dxa"/>
          </w:tcPr>
          <w:p>
            <w:pPr>
              <w:spacing w:before="20" w:after="20"/>
            </w:pPr>
            <w:r>
              <w:rPr>
                <w:sz w:val="18"/>
              </w:rPr>
              <w:t xml:space="preserve">Estimated Bonus Amount</w:t>
            </w:r>
          </w:p>
        </w:tc>
        <w:tc>
          <w:tcPr>
            <w:tcW w:w="3050" w:type="dxa"/>
          </w:tcPr>
          <w:p>
            <w:pPr>
              <w:spacing w:before="20" w:after="20"/>
            </w:pPr>
            <w:r>
              <w:rPr>
                <w:sz w:val="18"/>
              </w:rPr>
              <w:t xml:space="preserve">{comp.EstBonusAmt:currency}</w:t>
            </w:r>
          </w:p>
        </w:tc>
      </w:tr>
      <w:tr>
        <w:tc>
          <w:tcPr>
            <w:tcW w:w="1500" w:type="dxa"/>
            <w:shd w:val="clear" w:color="auto" w:fill="F2F5F9"/>
          </w:tcPr>
          <w:p>
            <w:pPr>
              <w:spacing w:before="20" w:after="20"/>
            </w:pPr>
            <w:r>
              <w:rPr>
                <w:sz w:val="18"/>
              </w:rPr>
              <w:t xml:space="preserve">Compensation</w:t>
            </w:r>
          </w:p>
        </w:tc>
        <w:tc>
          <w:tcPr>
            <w:tcW w:w="3800" w:type="dxa"/>
            <w:shd w:val="clear" w:color="auto" w:fill="F2F5F9"/>
          </w:tcPr>
          <w:p>
            <w:pPr>
              <w:spacing w:before="20" w:after="20"/>
            </w:pPr>
            <w:r>
              <w:rPr>
                <w:sz w:val="18"/>
              </w:rPr>
              <w:t xml:space="preserve">Late Fee and Loss Sharing</w:t>
            </w:r>
          </w:p>
        </w:tc>
        <w:tc>
          <w:tcPr>
            <w:tcW w:w="3050" w:type="dxa"/>
            <w:shd w:val="clear" w:color="auto" w:fill="F2F5F9"/>
          </w:tcPr>
          <w:p>
            <w:pPr>
              <w:spacing w:before="20" w:after="20"/>
            </w:pPr>
            <w:r>
              <w:rPr>
                <w:sz w:val="18"/>
              </w:rPr>
              <w:t xml:space="preserve">{comp.LateFeeLoss}</w:t>
            </w:r>
          </w:p>
        </w:tc>
      </w:tr>
      <w:tr>
        <w:tc>
          <w:tcPr>
            <w:tcW w:w="1500" w:type="dxa"/>
          </w:tcPr>
          <w:p>
            <w:pPr>
              <w:spacing w:before="20" w:after="20"/>
            </w:pPr>
            <w:r>
              <w:rPr>
                <w:sz w:val="18"/>
              </w:rPr>
              <w:t xml:space="preserve">Compensation</w:t>
            </w:r>
          </w:p>
        </w:tc>
        <w:tc>
          <w:tcPr>
            <w:tcW w:w="3800" w:type="dxa"/>
          </w:tcPr>
          <w:p>
            <w:pPr>
              <w:spacing w:before="20" w:after="20"/>
            </w:pPr>
            <w:r>
              <w:rPr>
                <w:sz w:val="18"/>
              </w:rPr>
              <w:t xml:space="preserve">Estimated Late Fee Amount</w:t>
            </w:r>
          </w:p>
        </w:tc>
        <w:tc>
          <w:tcPr>
            <w:tcW w:w="3050" w:type="dxa"/>
          </w:tcPr>
          <w:p>
            <w:pPr>
              <w:spacing w:before="20" w:after="20"/>
            </w:pPr>
            <w:r>
              <w:rPr>
                <w:sz w:val="18"/>
              </w:rPr>
              <w:t xml:space="preserve">{comp.EstLateFeeAmt:currency}</w:t>
            </w:r>
          </w:p>
        </w:tc>
      </w:tr>
      <w:tr>
        <w:tc>
          <w:tcPr>
            <w:tcW w:w="1500" w:type="dxa"/>
            <w:shd w:val="clear" w:color="auto" w:fill="F2F5F9"/>
          </w:tcPr>
          <w:p>
            <w:pPr>
              <w:spacing w:before="20" w:after="20"/>
            </w:pPr>
            <w:r>
              <w:rPr>
                <w:sz w:val="18"/>
              </w:rPr>
              <w:t xml:space="preserve">Compensation</w:t>
            </w:r>
          </w:p>
        </w:tc>
        <w:tc>
          <w:tcPr>
            <w:tcW w:w="3800" w:type="dxa"/>
            <w:shd w:val="clear" w:color="auto" w:fill="F2F5F9"/>
          </w:tcPr>
          <w:p>
            <w:pPr>
              <w:spacing w:before="20" w:after="20"/>
            </w:pPr>
            <w:r>
              <w:rPr>
                <w:sz w:val="18"/>
              </w:rPr>
              <w:t xml:space="preserve">Bonus</w:t>
            </w:r>
          </w:p>
        </w:tc>
        <w:tc>
          <w:tcPr>
            <w:tcW w:w="3050" w:type="dxa"/>
            <w:shd w:val="clear" w:color="auto" w:fill="F2F5F9"/>
          </w:tcPr>
          <w:p>
            <w:pPr>
              <w:spacing w:before="20" w:after="20"/>
            </w:pPr>
            <w:r>
              <w:rPr>
                <w:sz w:val="18"/>
              </w:rPr>
              <w:t xml:space="preserve">{comp.Bonus}</w:t>
            </w:r>
          </w:p>
        </w:tc>
      </w:tr>
      <w:tr>
        <w:tc>
          <w:tcPr>
            <w:tcW w:w="1500" w:type="dxa"/>
          </w:tcPr>
          <w:p>
            <w:pPr>
              <w:spacing w:before="20" w:after="20"/>
            </w:pPr>
            <w:r>
              <w:rPr>
                <w:sz w:val="18"/>
              </w:rPr>
              <w:t xml:space="preserve">Cross Selling</w:t>
            </w:r>
          </w:p>
        </w:tc>
        <w:tc>
          <w:tcPr>
            <w:tcW w:w="3800" w:type="dxa"/>
          </w:tcPr>
          <w:p>
            <w:pPr>
              <w:spacing w:before="20" w:after="20"/>
            </w:pPr>
            <w:r>
              <w:rPr>
                <w:sz w:val="18"/>
              </w:rPr>
              <w:t xml:space="preserve"># of Referrals</w:t>
            </w:r>
          </w:p>
        </w:tc>
        <w:tc>
          <w:tcPr>
            <w:tcW w:w="3050" w:type="dxa"/>
          </w:tcPr>
          <w:p>
            <w:pPr>
              <w:spacing w:before="20" w:after="20"/>
            </w:pPr>
            <w:r>
              <w:rPr>
                <w:sz w:val="18"/>
              </w:rPr>
              <w:t xml:space="preserve">{xsell.NumReferrals:number}</w:t>
            </w:r>
          </w:p>
        </w:tc>
      </w:tr>
      <w:tr>
        <w:tc>
          <w:tcPr>
            <w:tcW w:w="1500" w:type="dxa"/>
            <w:shd w:val="clear" w:color="auto" w:fill="F2F5F9"/>
          </w:tcPr>
          <w:p>
            <w:pPr>
              <w:spacing w:before="20" w:after="20"/>
            </w:pPr>
            <w:r>
              <w:rPr>
                <w:sz w:val="18"/>
              </w:rPr>
              <w:t xml:space="preserve">Cross Selling</w:t>
            </w:r>
          </w:p>
        </w:tc>
        <w:tc>
          <w:tcPr>
            <w:tcW w:w="3800" w:type="dxa"/>
            <w:shd w:val="clear" w:color="auto" w:fill="F2F5F9"/>
          </w:tcPr>
          <w:p>
            <w:pPr>
              <w:spacing w:before="20" w:after="20"/>
            </w:pPr>
            <w:r>
              <w:rPr>
                <w:sz w:val="18"/>
              </w:rPr>
              <w:t xml:space="preserve">Agency Lending</w:t>
            </w:r>
          </w:p>
        </w:tc>
        <w:tc>
          <w:tcPr>
            <w:tcW w:w="3050" w:type="dxa"/>
            <w:shd w:val="clear" w:color="auto" w:fill="F2F5F9"/>
          </w:tcPr>
          <w:p>
            <w:pPr>
              <w:spacing w:before="20" w:after="20"/>
            </w:pPr>
            <w:r>
              <w:rPr>
                <w:sz w:val="18"/>
              </w:rPr>
              <w:t xml:space="preserve">{xsell.AgLending:checkbox}</w:t>
            </w:r>
          </w:p>
        </w:tc>
      </w:tr>
      <w:tr>
        <w:tc>
          <w:tcPr>
            <w:tcW w:w="1500" w:type="dxa"/>
          </w:tcPr>
          <w:p>
            <w:pPr>
              <w:spacing w:before="20" w:after="20"/>
            </w:pPr>
            <w:r>
              <w:rPr>
                <w:sz w:val="18"/>
              </w:rPr>
              <w:t xml:space="preserve">Cross Selling</w:t>
            </w:r>
          </w:p>
        </w:tc>
        <w:tc>
          <w:tcPr>
            <w:tcW w:w="3800" w:type="dxa"/>
          </w:tcPr>
          <w:p>
            <w:pPr>
              <w:spacing w:before="20" w:after="20"/>
            </w:pPr>
            <w:r>
              <w:rPr>
                <w:sz w:val="18"/>
              </w:rPr>
              <w:t xml:space="preserve">Banking with Wintrust</w:t>
            </w:r>
          </w:p>
        </w:tc>
        <w:tc>
          <w:tcPr>
            <w:tcW w:w="3050" w:type="dxa"/>
          </w:tcPr>
          <w:p>
            <w:pPr>
              <w:spacing w:before="20" w:after="20"/>
            </w:pPr>
            <w:r>
              <w:rPr>
                <w:sz w:val="18"/>
              </w:rPr>
              <w:t xml:space="preserve">{xsell.BankWintrust:checkbox}</w:t>
            </w:r>
          </w:p>
        </w:tc>
      </w:tr>
      <w:tr>
        <w:tc>
          <w:tcPr>
            <w:tcW w:w="1500" w:type="dxa"/>
            <w:shd w:val="clear" w:color="auto" w:fill="F2F5F9"/>
          </w:tcPr>
          <w:p>
            <w:pPr>
              <w:spacing w:before="20" w:after="20"/>
            </w:pPr>
            <w:r>
              <w:rPr>
                <w:sz w:val="18"/>
              </w:rPr>
              <w:t xml:space="preserve">Added Value</w:t>
            </w:r>
          </w:p>
        </w:tc>
        <w:tc>
          <w:tcPr>
            <w:tcW w:w="3800" w:type="dxa"/>
            <w:shd w:val="clear" w:color="auto" w:fill="F2F5F9"/>
          </w:tcPr>
          <w:p>
            <w:pPr>
              <w:spacing w:before="20" w:after="20"/>
            </w:pPr>
            <w:r>
              <w:rPr>
                <w:sz w:val="18"/>
              </w:rPr>
              <w:t xml:space="preserve">Agency Development Program</w:t>
            </w:r>
          </w:p>
        </w:tc>
        <w:tc>
          <w:tcPr>
            <w:tcW w:w="3050" w:type="dxa"/>
            <w:shd w:val="clear" w:color="auto" w:fill="F2F5F9"/>
          </w:tcPr>
          <w:p>
            <w:pPr>
              <w:spacing w:before="20" w:after="20"/>
            </w:pPr>
            <w:r>
              <w:rPr>
                <w:sz w:val="18"/>
              </w:rPr>
              <w:t xml:space="preserve">{addval.AgDevProg}</w:t>
            </w:r>
          </w:p>
        </w:tc>
      </w:tr>
      <w:tr>
        <w:tc>
          <w:tcPr>
            <w:tcW w:w="1500" w:type="dxa"/>
          </w:tcPr>
          <w:p>
            <w:pPr>
              <w:spacing w:before="20" w:after="20"/>
            </w:pPr>
            <w:r>
              <w:rPr>
                <w:sz w:val="18"/>
              </w:rPr>
              <w:t xml:space="preserve">Added Value</w:t>
            </w:r>
          </w:p>
        </w:tc>
        <w:tc>
          <w:tcPr>
            <w:tcW w:w="3800" w:type="dxa"/>
          </w:tcPr>
          <w:p>
            <w:pPr>
              <w:spacing w:before="20" w:after="20"/>
            </w:pPr>
            <w:r>
              <w:rPr>
                <w:sz w:val="18"/>
              </w:rPr>
              <w:t xml:space="preserve">Interest in Sports Tickets</w:t>
            </w:r>
          </w:p>
        </w:tc>
        <w:tc>
          <w:tcPr>
            <w:tcW w:w="3050" w:type="dxa"/>
          </w:tcPr>
          <w:p>
            <w:pPr>
              <w:spacing w:before="20" w:after="20"/>
            </w:pPr>
            <w:r>
              <w:rPr>
                <w:sz w:val="18"/>
              </w:rPr>
              <w:t xml:space="preserve">{addval.IntSportTix:checkbox}</w:t>
            </w:r>
          </w:p>
        </w:tc>
      </w:tr>
      <w:tr>
        <w:tc>
          <w:tcPr>
            <w:tcW w:w="1500" w:type="dxa"/>
            <w:shd w:val="clear" w:color="auto" w:fill="F2F5F9"/>
          </w:tcPr>
          <w:p>
            <w:pPr>
              <w:spacing w:before="20" w:after="20"/>
            </w:pPr>
            <w:r>
              <w:rPr>
                <w:sz w:val="18"/>
              </w:rPr>
              <w:t xml:space="preserve">Added Value</w:t>
            </w:r>
          </w:p>
        </w:tc>
        <w:tc>
          <w:tcPr>
            <w:tcW w:w="3800" w:type="dxa"/>
            <w:shd w:val="clear" w:color="auto" w:fill="F2F5F9"/>
          </w:tcPr>
          <w:p>
            <w:pPr>
              <w:spacing w:before="20" w:after="20"/>
            </w:pPr>
            <w:r>
              <w:rPr>
                <w:sz w:val="18"/>
              </w:rPr>
              <w:t xml:space="preserve">Favorite Team</w:t>
            </w:r>
          </w:p>
        </w:tc>
        <w:tc>
          <w:tcPr>
            <w:tcW w:w="3050" w:type="dxa"/>
            <w:shd w:val="clear" w:color="auto" w:fill="F2F5F9"/>
          </w:tcPr>
          <w:p>
            <w:pPr>
              <w:spacing w:before="20" w:after="20"/>
            </w:pPr>
            <w:r>
              <w:rPr>
                <w:sz w:val="18"/>
              </w:rPr>
              <w:t xml:space="preserve">{addval.FavTeam}</w:t>
            </w:r>
          </w:p>
        </w:tc>
      </w:tr>
      <w:tr>
        <w:tc>
          <w:tcPr>
            <w:tcW w:w="1500" w:type="dxa"/>
          </w:tcPr>
          <w:p>
            <w:pPr>
              <w:spacing w:before="20" w:after="20"/>
            </w:pPr>
            <w:r>
              <w:rPr>
                <w:sz w:val="18"/>
              </w:rPr>
              <w:t xml:space="preserve">Added Value</w:t>
            </w:r>
          </w:p>
        </w:tc>
        <w:tc>
          <w:tcPr>
            <w:tcW w:w="3800" w:type="dxa"/>
          </w:tcPr>
          <w:p>
            <w:pPr>
              <w:spacing w:before="20" w:after="20"/>
            </w:pPr>
            <w:r>
              <w:rPr>
                <w:sz w:val="18"/>
              </w:rPr>
              <w:t xml:space="preserve">Sponsorships</w:t>
            </w:r>
          </w:p>
        </w:tc>
        <w:tc>
          <w:tcPr>
            <w:tcW w:w="3050" w:type="dxa"/>
          </w:tcPr>
          <w:p>
            <w:pPr>
              <w:spacing w:before="20" w:after="20"/>
            </w:pPr>
            <w:r>
              <w:rPr>
                <w:sz w:val="18"/>
              </w:rPr>
              <w:t xml:space="preserve">{addval.Sponsor}</w:t>
            </w:r>
          </w:p>
        </w:tc>
      </w:tr>
      <w:tr>
        <w:tc>
          <w:tcPr>
            <w:tcW w:w="1500" w:type="dxa"/>
            <w:shd w:val="clear" w:color="auto" w:fill="F2F5F9"/>
          </w:tcPr>
          <w:p>
            <w:pPr>
              <w:spacing w:before="20" w:after="20"/>
            </w:pPr>
            <w:r>
              <w:rPr>
                <w:sz w:val="18"/>
              </w:rPr>
              <w:t xml:space="preserve">Production</w:t>
            </w:r>
          </w:p>
        </w:tc>
        <w:tc>
          <w:tcPr>
            <w:tcW w:w="3800" w:type="dxa"/>
            <w:shd w:val="clear" w:color="auto" w:fill="F2F5F9"/>
          </w:tcPr>
          <w:p>
            <w:pPr>
              <w:spacing w:before="20" w:after="20"/>
            </w:pPr>
            <w:r>
              <w:rPr>
                <w:sz w:val="18"/>
              </w:rPr>
              <w:t xml:space="preserve">Potential Business (Est. Amt. Financed)</w:t>
            </w:r>
          </w:p>
        </w:tc>
        <w:tc>
          <w:tcPr>
            <w:tcW w:w="3050" w:type="dxa"/>
            <w:shd w:val="clear" w:color="auto" w:fill="F2F5F9"/>
          </w:tcPr>
          <w:p>
            <w:pPr>
              <w:spacing w:before="20" w:after="20"/>
            </w:pPr>
            <w:r>
              <w:rPr>
                <w:sz w:val="18"/>
              </w:rPr>
              <w:t xml:space="preserve">{prod.PotBusiness:currency}</w:t>
            </w:r>
          </w:p>
        </w:tc>
      </w:tr>
      <w:tr>
        <w:tc>
          <w:tcPr>
            <w:tcW w:w="1500" w:type="dxa"/>
          </w:tcPr>
          <w:p>
            <w:pPr>
              <w:spacing w:before="20" w:after="20"/>
            </w:pPr>
            <w:r>
              <w:rPr>
                <w:sz w:val="18"/>
              </w:rPr>
              <w:t xml:space="preserve">Production</w:t>
            </w:r>
          </w:p>
        </w:tc>
        <w:tc>
          <w:tcPr>
            <w:tcW w:w="3800" w:type="dxa"/>
          </w:tcPr>
          <w:p>
            <w:pPr>
              <w:spacing w:before="20" w:after="20"/>
            </w:pPr>
            <w:r>
              <w:rPr>
                <w:sz w:val="18"/>
              </w:rPr>
              <w:t xml:space="preserve">TTM Volume</w:t>
            </w:r>
          </w:p>
        </w:tc>
        <w:tc>
          <w:tcPr>
            <w:tcW w:w="3050" w:type="dxa"/>
          </w:tcPr>
          <w:p>
            <w:pPr>
              <w:spacing w:before="20" w:after="20"/>
            </w:pPr>
            <w:r>
              <w:rPr>
                <w:sz w:val="18"/>
              </w:rPr>
              <w:t xml:space="preserve">{prod.TtmVol:currency}</w:t>
            </w:r>
          </w:p>
        </w:tc>
      </w:tr>
      <w:tr>
        <w:tc>
          <w:tcPr>
            <w:tcW w:w="1500" w:type="dxa"/>
            <w:shd w:val="clear" w:color="auto" w:fill="F2F5F9"/>
          </w:tcPr>
          <w:p>
            <w:pPr>
              <w:spacing w:before="20" w:after="20"/>
            </w:pPr>
            <w:r>
              <w:rPr>
                <w:sz w:val="18"/>
              </w:rPr>
              <w:t xml:space="preserve">Production</w:t>
            </w:r>
          </w:p>
        </w:tc>
        <w:tc>
          <w:tcPr>
            <w:tcW w:w="3800" w:type="dxa"/>
            <w:shd w:val="clear" w:color="auto" w:fill="F2F5F9"/>
          </w:tcPr>
          <w:p>
            <w:pPr>
              <w:spacing w:before="20" w:after="20"/>
            </w:pPr>
            <w:r>
              <w:rPr>
                <w:sz w:val="18"/>
              </w:rPr>
              <w:t xml:space="preserve">YTD Loans - Current Year</w:t>
            </w:r>
          </w:p>
        </w:tc>
        <w:tc>
          <w:tcPr>
            <w:tcW w:w="3050" w:type="dxa"/>
            <w:shd w:val="clear" w:color="auto" w:fill="F2F5F9"/>
          </w:tcPr>
          <w:p>
            <w:pPr>
              <w:spacing w:before="20" w:after="20"/>
            </w:pPr>
            <w:r>
              <w:rPr>
                <w:sz w:val="18"/>
              </w:rPr>
              <w:t xml:space="preserve">{prod.YtdLoanCurYr:number}</w:t>
            </w:r>
          </w:p>
        </w:tc>
      </w:tr>
      <w:tr>
        <w:tc>
          <w:tcPr>
            <w:tcW w:w="1500" w:type="dxa"/>
          </w:tcPr>
          <w:p>
            <w:pPr>
              <w:spacing w:before="20" w:after="20"/>
            </w:pPr>
            <w:r>
              <w:rPr>
                <w:sz w:val="18"/>
              </w:rPr>
              <w:t xml:space="preserve">Production</w:t>
            </w:r>
          </w:p>
        </w:tc>
        <w:tc>
          <w:tcPr>
            <w:tcW w:w="3800" w:type="dxa"/>
          </w:tcPr>
          <w:p>
            <w:pPr>
              <w:spacing w:before="20" w:after="20"/>
            </w:pPr>
            <w:r>
              <w:rPr>
                <w:sz w:val="18"/>
              </w:rPr>
              <w:t xml:space="preserve">YTD Loans - Prior Year</w:t>
            </w:r>
          </w:p>
        </w:tc>
        <w:tc>
          <w:tcPr>
            <w:tcW w:w="3050" w:type="dxa"/>
          </w:tcPr>
          <w:p>
            <w:pPr>
              <w:spacing w:before="20" w:after="20"/>
            </w:pPr>
            <w:r>
              <w:rPr>
                <w:sz w:val="18"/>
              </w:rPr>
              <w:t xml:space="preserve">{prod.YtdLoanPriorYr:number}</w:t>
            </w:r>
          </w:p>
        </w:tc>
      </w:tr>
      <w:tr>
        <w:tc>
          <w:tcPr>
            <w:tcW w:w="1500" w:type="dxa"/>
            <w:shd w:val="clear" w:color="auto" w:fill="F2F5F9"/>
          </w:tcPr>
          <w:p>
            <w:pPr>
              <w:spacing w:before="20" w:after="20"/>
            </w:pPr>
            <w:r>
              <w:rPr>
                <w:sz w:val="18"/>
              </w:rPr>
              <w:t xml:space="preserve">Production</w:t>
            </w:r>
          </w:p>
        </w:tc>
        <w:tc>
          <w:tcPr>
            <w:tcW w:w="3800" w:type="dxa"/>
            <w:shd w:val="clear" w:color="auto" w:fill="F2F5F9"/>
          </w:tcPr>
          <w:p>
            <w:pPr>
              <w:spacing w:before="20" w:after="20"/>
            </w:pPr>
            <w:r>
              <w:rPr>
                <w:sz w:val="18"/>
              </w:rPr>
              <w:t xml:space="preserve">YTD Volume - Current Year</w:t>
            </w:r>
          </w:p>
        </w:tc>
        <w:tc>
          <w:tcPr>
            <w:tcW w:w="3050" w:type="dxa"/>
            <w:shd w:val="clear" w:color="auto" w:fill="F2F5F9"/>
          </w:tcPr>
          <w:p>
            <w:pPr>
              <w:spacing w:before="20" w:after="20"/>
            </w:pPr>
            <w:r>
              <w:rPr>
                <w:sz w:val="18"/>
              </w:rPr>
              <w:t xml:space="preserve">{prod.YtdVolCurYr:currency}</w:t>
            </w:r>
          </w:p>
        </w:tc>
      </w:tr>
      <w:tr>
        <w:tc>
          <w:tcPr>
            <w:tcW w:w="1500" w:type="dxa"/>
          </w:tcPr>
          <w:p>
            <w:pPr>
              <w:spacing w:before="20" w:after="20"/>
            </w:pPr>
            <w:r>
              <w:rPr>
                <w:sz w:val="18"/>
              </w:rPr>
              <w:t xml:space="preserve">Production</w:t>
            </w:r>
          </w:p>
        </w:tc>
        <w:tc>
          <w:tcPr>
            <w:tcW w:w="3800" w:type="dxa"/>
          </w:tcPr>
          <w:p>
            <w:pPr>
              <w:spacing w:before="20" w:after="20"/>
            </w:pPr>
            <w:r>
              <w:rPr>
                <w:sz w:val="18"/>
              </w:rPr>
              <w:t xml:space="preserve">YTD Volume - Prior Year</w:t>
            </w:r>
          </w:p>
        </w:tc>
        <w:tc>
          <w:tcPr>
            <w:tcW w:w="3050" w:type="dxa"/>
          </w:tcPr>
          <w:p>
            <w:pPr>
              <w:spacing w:before="20" w:after="20"/>
            </w:pPr>
            <w:r>
              <w:rPr>
                <w:sz w:val="18"/>
              </w:rPr>
              <w:t xml:space="preserve">{prod.YtdVolPriorYr:currency}</w:t>
            </w:r>
          </w:p>
        </w:tc>
      </w:tr>
      <w:tr>
        <w:tc>
          <w:tcPr>
            <w:tcW w:w="1500" w:type="dxa"/>
            <w:shd w:val="clear" w:color="auto" w:fill="F2F5F9"/>
          </w:tcPr>
          <w:p>
            <w:pPr>
              <w:spacing w:before="20" w:after="20"/>
            </w:pPr>
            <w:r>
              <w:rPr>
                <w:sz w:val="18"/>
              </w:rPr>
              <w:t xml:space="preserve">Production</w:t>
            </w:r>
          </w:p>
        </w:tc>
        <w:tc>
          <w:tcPr>
            <w:tcW w:w="3800" w:type="dxa"/>
            <w:shd w:val="clear" w:color="auto" w:fill="F2F5F9"/>
          </w:tcPr>
          <w:p>
            <w:pPr>
              <w:spacing w:before="20" w:after="20"/>
            </w:pPr>
            <w:r>
              <w:rPr>
                <w:sz w:val="18"/>
              </w:rPr>
              <w:t xml:space="preserve">YTD Vol Variance</w:t>
            </w:r>
          </w:p>
        </w:tc>
        <w:tc>
          <w:tcPr>
            <w:tcW w:w="3050" w:type="dxa"/>
            <w:shd w:val="clear" w:color="auto" w:fill="F2F5F9"/>
          </w:tcPr>
          <w:p>
            <w:pPr>
              <w:spacing w:before="20" w:after="20"/>
            </w:pPr>
            <w:r>
              <w:rPr>
                <w:sz w:val="18"/>
              </w:rPr>
              <w:t xml:space="preserve">{prod.YtdVolVar:percent}</w:t>
            </w:r>
          </w:p>
        </w:tc>
      </w:tr>
      <w:tr>
        <w:tc>
          <w:tcPr>
            <w:tcW w:w="1500" w:type="dxa"/>
          </w:tcPr>
          <w:p>
            <w:pPr>
              <w:spacing w:before="20" w:after="20"/>
            </w:pPr>
            <w:r>
              <w:rPr>
                <w:sz w:val="18"/>
              </w:rPr>
              <w:t xml:space="preserve">Production</w:t>
            </w:r>
          </w:p>
        </w:tc>
        <w:tc>
          <w:tcPr>
            <w:tcW w:w="3800" w:type="dxa"/>
          </w:tcPr>
          <w:p>
            <w:pPr>
              <w:spacing w:before="20" w:after="20"/>
            </w:pPr>
            <w:r>
              <w:rPr>
                <w:sz w:val="18"/>
              </w:rPr>
              <w:t xml:space="preserve">YTD Fee Income - Current Year</w:t>
            </w:r>
          </w:p>
        </w:tc>
        <w:tc>
          <w:tcPr>
            <w:tcW w:w="3050" w:type="dxa"/>
          </w:tcPr>
          <w:p>
            <w:pPr>
              <w:spacing w:before="20" w:after="20"/>
            </w:pPr>
            <w:r>
              <w:rPr>
                <w:sz w:val="18"/>
              </w:rPr>
              <w:t xml:space="preserve">{prod.YtdFeeIncCurYr:currency}</w:t>
            </w:r>
          </w:p>
        </w:tc>
      </w:tr>
      <w:tr>
        <w:tc>
          <w:tcPr>
            <w:tcW w:w="1500" w:type="dxa"/>
            <w:shd w:val="clear" w:color="auto" w:fill="F2F5F9"/>
          </w:tcPr>
          <w:p>
            <w:pPr>
              <w:spacing w:before="20" w:after="20"/>
            </w:pPr>
            <w:r>
              <w:rPr>
                <w:sz w:val="18"/>
              </w:rPr>
              <w:t xml:space="preserve">Production</w:t>
            </w:r>
          </w:p>
        </w:tc>
        <w:tc>
          <w:tcPr>
            <w:tcW w:w="3800" w:type="dxa"/>
            <w:shd w:val="clear" w:color="auto" w:fill="F2F5F9"/>
          </w:tcPr>
          <w:p>
            <w:pPr>
              <w:spacing w:before="20" w:after="20"/>
            </w:pPr>
            <w:r>
              <w:rPr>
                <w:sz w:val="18"/>
              </w:rPr>
              <w:t xml:space="preserve">YTD Fee Income - Prior Year</w:t>
            </w:r>
          </w:p>
        </w:tc>
        <w:tc>
          <w:tcPr>
            <w:tcW w:w="3050" w:type="dxa"/>
            <w:shd w:val="clear" w:color="auto" w:fill="F2F5F9"/>
          </w:tcPr>
          <w:p>
            <w:pPr>
              <w:spacing w:before="20" w:after="20"/>
            </w:pPr>
            <w:r>
              <w:rPr>
                <w:sz w:val="18"/>
              </w:rPr>
              <w:t xml:space="preserve">{prod.YtdFeeIncPriorYr:currency}</w:t>
            </w:r>
          </w:p>
        </w:tc>
      </w:tr>
      <w:tr>
        <w:tc>
          <w:tcPr>
            <w:tcW w:w="1500" w:type="dxa"/>
          </w:tcPr>
          <w:p>
            <w:pPr>
              <w:spacing w:before="20" w:after="20"/>
            </w:pPr>
            <w:r>
              <w:rPr>
                <w:sz w:val="18"/>
              </w:rPr>
              <w:t xml:space="preserve">Historical Production</w:t>
            </w:r>
          </w:p>
        </w:tc>
        <w:tc>
          <w:tcPr>
            <w:tcW w:w="3800" w:type="dxa"/>
          </w:tcPr>
          <w:p>
            <w:pPr>
              <w:spacing w:before="20" w:after="20"/>
            </w:pPr>
            <w:r>
              <w:rPr>
                <w:sz w:val="18"/>
              </w:rPr>
              <w:t xml:space="preserve">Prior Year YE Loans</w:t>
            </w:r>
          </w:p>
        </w:tc>
        <w:tc>
          <w:tcPr>
            <w:tcW w:w="3050" w:type="dxa"/>
          </w:tcPr>
          <w:p>
            <w:pPr>
              <w:spacing w:before="20" w:after="20"/>
            </w:pPr>
            <w:r>
              <w:rPr>
                <w:sz w:val="18"/>
              </w:rPr>
              <w:t xml:space="preserve">{histprod.PYeLoans:number}</w:t>
            </w:r>
          </w:p>
        </w:tc>
      </w:tr>
      <w:tr>
        <w:tc>
          <w:tcPr>
            <w:tcW w:w="1500" w:type="dxa"/>
            <w:shd w:val="clear" w:color="auto" w:fill="F2F5F9"/>
          </w:tcPr>
          <w:p>
            <w:pPr>
              <w:spacing w:before="20" w:after="20"/>
            </w:pPr>
            <w:r>
              <w:rPr>
                <w:sz w:val="18"/>
              </w:rPr>
              <w:t xml:space="preserve">Historical Production</w:t>
            </w:r>
          </w:p>
        </w:tc>
        <w:tc>
          <w:tcPr>
            <w:tcW w:w="3800" w:type="dxa"/>
            <w:shd w:val="clear" w:color="auto" w:fill="F2F5F9"/>
          </w:tcPr>
          <w:p>
            <w:pPr>
              <w:spacing w:before="20" w:after="20"/>
            </w:pPr>
            <w:r>
              <w:rPr>
                <w:sz w:val="18"/>
              </w:rPr>
              <w:t xml:space="preserve">Prior Year YE Volume</w:t>
            </w:r>
          </w:p>
        </w:tc>
        <w:tc>
          <w:tcPr>
            <w:tcW w:w="3050" w:type="dxa"/>
            <w:shd w:val="clear" w:color="auto" w:fill="F2F5F9"/>
          </w:tcPr>
          <w:p>
            <w:pPr>
              <w:spacing w:before="20" w:after="20"/>
            </w:pPr>
            <w:r>
              <w:rPr>
                <w:sz w:val="18"/>
              </w:rPr>
              <w:t xml:space="preserve">{histprod.PYeVolume:currency}</w:t>
            </w:r>
          </w:p>
        </w:tc>
      </w:tr>
      <w:tr>
        <w:tc>
          <w:tcPr>
            <w:tcW w:w="1500" w:type="dxa"/>
          </w:tcPr>
          <w:p>
            <w:pPr>
              <w:spacing w:before="20" w:after="20"/>
            </w:pPr>
            <w:r>
              <w:rPr>
                <w:sz w:val="18"/>
              </w:rPr>
              <w:t xml:space="preserve">Historical Production</w:t>
            </w:r>
          </w:p>
        </w:tc>
        <w:tc>
          <w:tcPr>
            <w:tcW w:w="3800" w:type="dxa"/>
          </w:tcPr>
          <w:p>
            <w:pPr>
              <w:spacing w:before="20" w:after="20"/>
            </w:pPr>
            <w:r>
              <w:rPr>
                <w:sz w:val="18"/>
              </w:rPr>
              <w:t xml:space="preserve">Prior Year YE Fee Income</w:t>
            </w:r>
          </w:p>
        </w:tc>
        <w:tc>
          <w:tcPr>
            <w:tcW w:w="3050" w:type="dxa"/>
          </w:tcPr>
          <w:p>
            <w:pPr>
              <w:spacing w:before="20" w:after="20"/>
            </w:pPr>
            <w:r>
              <w:rPr>
                <w:sz w:val="18"/>
              </w:rPr>
              <w:t xml:space="preserve">{histprod.PYeFeeInc:currency}</w:t>
            </w:r>
          </w:p>
        </w:tc>
      </w:tr>
      <w:tr>
        <w:tc>
          <w:tcPr>
            <w:tcW w:w="1500" w:type="dxa"/>
            <w:shd w:val="clear" w:color="auto" w:fill="F2F5F9"/>
          </w:tcPr>
          <w:p>
            <w:pPr>
              <w:spacing w:before="20" w:after="20"/>
            </w:pPr>
            <w:r>
              <w:rPr>
                <w:sz w:val="18"/>
              </w:rPr>
              <w:t xml:space="preserve">Historical Production</w:t>
            </w:r>
          </w:p>
        </w:tc>
        <w:tc>
          <w:tcPr>
            <w:tcW w:w="3800" w:type="dxa"/>
            <w:shd w:val="clear" w:color="auto" w:fill="F2F5F9"/>
          </w:tcPr>
          <w:p>
            <w:pPr>
              <w:spacing w:before="20" w:after="20"/>
            </w:pPr>
            <w:r>
              <w:rPr>
                <w:sz w:val="18"/>
              </w:rPr>
              <w:t xml:space="preserve">2 Year Prior YE Loans</w:t>
            </w:r>
          </w:p>
        </w:tc>
        <w:tc>
          <w:tcPr>
            <w:tcW w:w="3050" w:type="dxa"/>
            <w:shd w:val="clear" w:color="auto" w:fill="F2F5F9"/>
          </w:tcPr>
          <w:p>
            <w:pPr>
              <w:spacing w:before="20" w:after="20"/>
            </w:pPr>
            <w:r>
              <w:rPr>
                <w:sz w:val="18"/>
              </w:rPr>
              <w:t xml:space="preserve">{histprod.TwoYrYeLoans:number}</w:t>
            </w:r>
          </w:p>
        </w:tc>
      </w:tr>
      <w:tr>
        <w:tc>
          <w:tcPr>
            <w:tcW w:w="1500" w:type="dxa"/>
          </w:tcPr>
          <w:p>
            <w:pPr>
              <w:spacing w:before="20" w:after="20"/>
            </w:pPr>
            <w:r>
              <w:rPr>
                <w:sz w:val="18"/>
              </w:rPr>
              <w:t xml:space="preserve">Historical Production</w:t>
            </w:r>
          </w:p>
        </w:tc>
        <w:tc>
          <w:tcPr>
            <w:tcW w:w="3800" w:type="dxa"/>
          </w:tcPr>
          <w:p>
            <w:pPr>
              <w:spacing w:before="20" w:after="20"/>
            </w:pPr>
            <w:r>
              <w:rPr>
                <w:sz w:val="18"/>
              </w:rPr>
              <w:t xml:space="preserve">2 Year Prior YE Volume</w:t>
            </w:r>
          </w:p>
        </w:tc>
        <w:tc>
          <w:tcPr>
            <w:tcW w:w="3050" w:type="dxa"/>
          </w:tcPr>
          <w:p>
            <w:pPr>
              <w:spacing w:before="20" w:after="20"/>
            </w:pPr>
            <w:r>
              <w:rPr>
                <w:sz w:val="18"/>
              </w:rPr>
              <w:t xml:space="preserve">{histprod.TwoYrYeVol:currency}</w:t>
            </w:r>
          </w:p>
        </w:tc>
      </w:tr>
      <w:tr>
        <w:tc>
          <w:tcPr>
            <w:tcW w:w="1500" w:type="dxa"/>
            <w:shd w:val="clear" w:color="auto" w:fill="F2F5F9"/>
          </w:tcPr>
          <w:p>
            <w:pPr>
              <w:spacing w:before="20" w:after="20"/>
            </w:pPr>
            <w:r>
              <w:rPr>
                <w:sz w:val="18"/>
              </w:rPr>
              <w:t xml:space="preserve">Historical Production</w:t>
            </w:r>
          </w:p>
        </w:tc>
        <w:tc>
          <w:tcPr>
            <w:tcW w:w="3800" w:type="dxa"/>
            <w:shd w:val="clear" w:color="auto" w:fill="F2F5F9"/>
          </w:tcPr>
          <w:p>
            <w:pPr>
              <w:spacing w:before="20" w:after="20"/>
            </w:pPr>
            <w:r>
              <w:rPr>
                <w:sz w:val="18"/>
              </w:rPr>
              <w:t xml:space="preserve">2 Year Prior YE Fee Income</w:t>
            </w:r>
          </w:p>
        </w:tc>
        <w:tc>
          <w:tcPr>
            <w:tcW w:w="3050" w:type="dxa"/>
            <w:shd w:val="clear" w:color="auto" w:fill="F2F5F9"/>
          </w:tcPr>
          <w:p>
            <w:pPr>
              <w:spacing w:before="20" w:after="20"/>
            </w:pPr>
            <w:r>
              <w:rPr>
                <w:sz w:val="18"/>
              </w:rPr>
              <w:t xml:space="preserve">{histprod.TwoYrYeFeeInc:currency}</w:t>
            </w:r>
          </w:p>
        </w:tc>
      </w:tr>
      <w:tr>
        <w:tc>
          <w:tcPr>
            <w:tcW w:w="1500" w:type="dxa"/>
          </w:tcPr>
          <w:p>
            <w:pPr>
              <w:spacing w:before="20" w:after="20"/>
            </w:pPr>
            <w:r>
              <w:rPr>
                <w:sz w:val="18"/>
              </w:rPr>
              <w:t xml:space="preserve">Historical Production</w:t>
            </w:r>
          </w:p>
        </w:tc>
        <w:tc>
          <w:tcPr>
            <w:tcW w:w="3800" w:type="dxa"/>
          </w:tcPr>
          <w:p>
            <w:pPr>
              <w:spacing w:before="20" w:after="20"/>
            </w:pPr>
            <w:r>
              <w:rPr>
                <w:sz w:val="18"/>
              </w:rPr>
              <w:t xml:space="preserve">YTD Write-Offs - Current Year</w:t>
            </w:r>
          </w:p>
        </w:tc>
        <w:tc>
          <w:tcPr>
            <w:tcW w:w="3050" w:type="dxa"/>
          </w:tcPr>
          <w:p>
            <w:pPr>
              <w:spacing w:before="20" w:after="20"/>
            </w:pPr>
            <w:r>
              <w:rPr>
                <w:sz w:val="18"/>
              </w:rPr>
              <w:t xml:space="preserve">{histprod.YtdWoCurYr:currency}</w:t>
            </w:r>
          </w:p>
        </w:tc>
      </w:tr>
      <w:tr>
        <w:tc>
          <w:tcPr>
            <w:tcW w:w="1500" w:type="dxa"/>
            <w:shd w:val="clear" w:color="auto" w:fill="F2F5F9"/>
          </w:tcPr>
          <w:p>
            <w:pPr>
              <w:spacing w:before="20" w:after="20"/>
            </w:pPr>
            <w:r>
              <w:rPr>
                <w:sz w:val="18"/>
              </w:rPr>
              <w:t xml:space="preserve">Historical Production</w:t>
            </w:r>
          </w:p>
        </w:tc>
        <w:tc>
          <w:tcPr>
            <w:tcW w:w="3800" w:type="dxa"/>
            <w:shd w:val="clear" w:color="auto" w:fill="F2F5F9"/>
          </w:tcPr>
          <w:p>
            <w:pPr>
              <w:spacing w:before="20" w:after="20"/>
            </w:pPr>
            <w:r>
              <w:rPr>
                <w:sz w:val="18"/>
              </w:rPr>
              <w:t xml:space="preserve">2025 YE Write Offs</w:t>
            </w:r>
          </w:p>
        </w:tc>
        <w:tc>
          <w:tcPr>
            <w:tcW w:w="3050" w:type="dxa"/>
            <w:shd w:val="clear" w:color="auto" w:fill="F2F5F9"/>
          </w:tcPr>
          <w:p>
            <w:pPr>
              <w:spacing w:before="20" w:after="20"/>
            </w:pPr>
            <w:r>
              <w:rPr>
                <w:sz w:val="18"/>
              </w:rPr>
              <w:t xml:space="preserve">{histprod.Ye2025Wo:currency}</w:t>
            </w:r>
          </w:p>
        </w:tc>
      </w:tr>
      <w:tr>
        <w:tc>
          <w:tcPr>
            <w:tcW w:w="1500" w:type="dxa"/>
          </w:tcPr>
          <w:p>
            <w:pPr>
              <w:spacing w:before="20" w:after="20"/>
            </w:pPr>
            <w:r>
              <w:rPr>
                <w:sz w:val="18"/>
              </w:rPr>
              <w:t xml:space="preserve">Historical Production</w:t>
            </w:r>
          </w:p>
        </w:tc>
        <w:tc>
          <w:tcPr>
            <w:tcW w:w="3800" w:type="dxa"/>
          </w:tcPr>
          <w:p>
            <w:pPr>
              <w:spacing w:before="20" w:after="20"/>
            </w:pPr>
            <w:r>
              <w:rPr>
                <w:sz w:val="18"/>
              </w:rPr>
              <w:t xml:space="preserve">2024 YE Write Offs</w:t>
            </w:r>
          </w:p>
        </w:tc>
        <w:tc>
          <w:tcPr>
            <w:tcW w:w="3050" w:type="dxa"/>
          </w:tcPr>
          <w:p>
            <w:pPr>
              <w:spacing w:before="20" w:after="20"/>
            </w:pPr>
            <w:r>
              <w:rPr>
                <w:sz w:val="18"/>
              </w:rPr>
              <w:t xml:space="preserve">{histprod.Ye2024Wo:currency}</w:t>
            </w:r>
          </w:p>
        </w:tc>
      </w:tr>
    </w:tbl>
    <w:p>
      <w:pPr>
        <w:spacing w:after="0"/>
        <w:rPr>
          <w:sz w:val="8"/>
        </w:rPr>
      </w:pPr>
    </w:p>
    <w:p>
      <w:pPr>
        <w:spacing w:before="220" w:after="100"/>
      </w:pPr>
      <w:r>
        <w:rPr>
          <w:b/>
          <w:color w:val="1F4E79"/>
          <w:sz w:val="24"/>
        </w:rPr>
        <w:t xml:space="preserve">4.1 Child loops</w:t>
      </w:r>
    </w:p>
    <w:tbl>
      <w:tblPr>
        <w:tblW w:w="8350" w:type="dxa"/>
        <w:tblBorders>
          <w:top w:val="single" w:sz="4" w:space="0" w:color="B7C6D9"/>
          <w:left w:val="single" w:sz="4" w:space="0" w:color="B7C6D9"/>
          <w:bottom w:val="single" w:sz="4" w:space="0" w:color="B7C6D9"/>
          <w:right w:val="single" w:sz="4" w:space="0" w:color="B7C6D9"/>
          <w:insideH w:val="single" w:sz="4" w:space="0" w:color="B7C6D9"/>
          <w:insideV w:val="single" w:sz="4" w:space="0" w:color="B7C6D9"/>
        </w:tblBorders>
        <w:tblLayout w:type="fixed"/>
        <w:tblLook w:val="0000"/>
      </w:tblPr>
      <w:tblGrid>
        <w:gridCol w:w="2200"/>
        <w:gridCol w:w="4200"/>
        <w:gridCol w:w="1950"/>
      </w:tblGrid>
      <w:tr>
        <w:trPr>
          <w:tblHeader/>
        </w:trPr>
        <w:tc>
          <w:tcPr>
            <w:tcW w:w="2200" w:type="dxa"/>
            <w:shd w:val="clear" w:color="auto" w:fill="002664"/>
          </w:tcPr>
          <w:p>
            <w:pPr>
              <w:spacing w:before="20" w:after="20"/>
            </w:pPr>
            <w:r>
              <w:rPr>
                <w:b/>
                <w:color w:val="FFFFFF"/>
                <w:sz w:val="18"/>
              </w:rPr>
              <w:t xml:space="preserve">Loop</w:t>
            </w:r>
          </w:p>
        </w:tc>
        <w:tc>
          <w:tcPr>
            <w:tcW w:w="4200" w:type="dxa"/>
            <w:shd w:val="clear" w:color="auto" w:fill="002664"/>
          </w:tcPr>
          <w:p>
            <w:pPr>
              <w:spacing w:before="20" w:after="20"/>
            </w:pPr>
            <w:r>
              <w:rPr>
                <w:b/>
                <w:color w:val="FFFFFF"/>
                <w:sz w:val="18"/>
              </w:rPr>
              <w:t xml:space="preserve">Row Fields</w:t>
            </w:r>
          </w:p>
        </w:tc>
        <w:tc>
          <w:tcPr>
            <w:tcW w:w="1950" w:type="dxa"/>
            <w:shd w:val="clear" w:color="auto" w:fill="002664"/>
          </w:tcPr>
          <w:p>
            <w:pPr>
              <w:spacing w:before="20" w:after="20"/>
            </w:pPr>
            <w:r>
              <w:rPr>
                <w:b/>
                <w:color w:val="FFFFFF"/>
                <w:sz w:val="18"/>
              </w:rPr>
              <w:t xml:space="preserve">Source</w:t>
            </w:r>
          </w:p>
        </w:tc>
      </w:tr>
      <w:tr>
        <w:tc>
          <w:tcPr>
            <w:tcW w:w="2200" w:type="dxa"/>
          </w:tcPr>
          <w:p>
            <w:pPr>
              <w:spacing w:before="20" w:after="20"/>
            </w:pPr>
            <w:r>
              <w:rPr>
                <w:sz w:val="18"/>
              </w:rPr>
              <w:t xml:space="preserve">lostAccts (Top 3 Lost Accounts due to Competition)</w:t>
            </w:r>
          </w:p>
        </w:tc>
        <w:tc>
          <w:tcPr>
            <w:tcW w:w="4200" w:type="dxa"/>
          </w:tcPr>
          <w:p>
            <w:pPr>
              <w:spacing w:before="20" w:after="20"/>
            </w:pPr>
            <w:r>
              <w:rPr>
                <w:sz w:val="18"/>
              </w:rPr>
              <w:t xml:space="preserve">Name, Amt:currency, EffDate:MM/dd/yyyy, Stage, LostRsn</w:t>
            </w:r>
          </w:p>
        </w:tc>
        <w:tc>
          <w:tcPr>
            <w:tcW w:w="1950" w:type="dxa"/>
          </w:tcPr>
          <w:p>
            <w:pPr>
              <w:spacing w:before="20" w:after="20"/>
            </w:pPr>
            <w:r>
              <w:rPr>
                <w:sz w:val="18"/>
              </w:rPr>
              <w:t xml:space="preserve">Opportunity (Lost/Lost - No Follow up, Rates/Terms)</w:t>
            </w:r>
          </w:p>
        </w:tc>
      </w:tr>
      <w:tr>
        <w:tc>
          <w:tcPr>
            <w:tcW w:w="2200" w:type="dxa"/>
            <w:shd w:val="clear" w:color="auto" w:fill="F2F5F9"/>
          </w:tcPr>
          <w:p>
            <w:pPr>
              <w:spacing w:before="20" w:after="20"/>
            </w:pPr>
            <w:r>
              <w:rPr>
                <w:sz w:val="18"/>
              </w:rPr>
              <w:t xml:space="preserve">topOpps (Top 5 Large Loans &amp; Renewal Date)</w:t>
            </w:r>
          </w:p>
        </w:tc>
        <w:tc>
          <w:tcPr>
            <w:tcW w:w="4200" w:type="dxa"/>
            <w:shd w:val="clear" w:color="auto" w:fill="F2F5F9"/>
          </w:tcPr>
          <w:p>
            <w:pPr>
              <w:spacing w:before="20" w:after="20"/>
            </w:pPr>
            <w:r>
              <w:rPr>
                <w:sz w:val="18"/>
              </w:rPr>
              <w:t xml:space="preserve">Name, Amt:currency, EffDate:MM/dd/yyyy, Stage</w:t>
            </w:r>
          </w:p>
        </w:tc>
        <w:tc>
          <w:tcPr>
            <w:tcW w:w="1950" w:type="dxa"/>
            <w:shd w:val="clear" w:color="auto" w:fill="F2F5F9"/>
          </w:tcPr>
          <w:p>
            <w:pPr>
              <w:spacing w:before="20" w:after="20"/>
            </w:pPr>
            <w:r>
              <w:rPr>
                <w:sz w:val="18"/>
              </w:rPr>
              <w:t xml:space="preserve">Opportunity (current-year, above threshold)</w:t>
            </w:r>
          </w:p>
        </w:tc>
      </w:tr>
    </w:tbl>
    <w:p>
      <w:pPr>
        <w:spacing w:after="0"/>
        <w:rPr>
          <w:sz w:val="8"/>
        </w:rPr>
      </w:pPr>
    </w:p>
    <w:p>
      <w:pPr>
        <w:pageBreakBefore/>
      </w:pPr>
    </w:p>
    <w:p>
      <w:pPr>
        <w:spacing w:before="320" w:after="140"/>
        <w:pBdr>
          <w:bottom w:val="single" w:sz="6" w:space="1" w:color="002664"/>
        </w:pBdr>
      </w:pPr>
      <w:r>
        <w:rPr>
          <w:b/>
          <w:color w:val="002664"/>
          <w:sz w:val="30"/>
        </w:rPr>
        <w:t xml:space="preserve">5. Apex Coding Conventions Applied</w:t>
      </w:r>
    </w:p>
    <w:p>
      <w:pPr>
        <w:spacing w:before="0" w:after="60"/>
        <w:ind w:left="360" w:hanging="180"/>
      </w:pPr>
      <w:r>
        <w:rPr>
          <w:sz w:val="20"/>
        </w:rPr>
        <w:t xml:space="preserve">•  Set variables are prefixed "set" (e.g. setContentDocumentIdsToDelete).</w:t>
      </w:r>
    </w:p>
    <w:p>
      <w:pPr>
        <w:spacing w:before="0" w:after="60"/>
        <w:ind w:left="360" w:hanging="180"/>
      </w:pPr>
      <w:r>
        <w:rPr>
          <w:sz w:val="20"/>
        </w:rPr>
        <w:t xml:space="preserve">•  List variables are prefixed "list" (e.g. listBrokerSnapshotLinks, listMatchingContentVersions).</w:t>
      </w:r>
    </w:p>
    <w:p>
      <w:pPr>
        <w:spacing w:before="0" w:after="60"/>
        <w:ind w:left="360" w:hanging="180"/>
      </w:pPr>
      <w:r>
        <w:rPr>
          <w:sz w:val="20"/>
        </w:rPr>
        <w:t xml:space="preserve">•  Map variables are prefixed "map" (e.g. mapMergeData, mapExtensionToMimeType).</w:t>
      </w:r>
    </w:p>
    <w:p>
      <w:pPr>
        <w:spacing w:before="0" w:after="60"/>
        <w:ind w:left="360" w:hanging="180"/>
      </w:pPr>
      <w:r>
        <w:rPr>
          <w:sz w:val="20"/>
        </w:rPr>
        <w:t xml:space="preserve">•  No single-letter variable names â€” every variable name states what it holds (e.g. accountRecord, opportunityRecord, fileExtension, linkIndex).</w:t>
      </w:r>
    </w:p>
    <w:p>
      <w:pPr>
        <w:spacing w:before="0" w:after="60"/>
        <w:ind w:left="360" w:hanging="180"/>
      </w:pPr>
      <w:r>
        <w:rPr>
          <w:sz w:val="20"/>
        </w:rPr>
        <w:t xml:space="preserve">•  Comments explain the why, not just the what, wherever the logic is not self-evident from the code alone (e.g. why generateDocument is called instead of DocGenButtonController, why the template Id comes from Custom Metadata instead of a hard-coded name, why retention failures are swallowed).</w:t>
      </w:r>
    </w:p>
    <w:p>
      <w:pPr>
        <w:spacing w:before="320" w:after="140"/>
        <w:pBdr>
          <w:bottom w:val="single" w:sz="6" w:space="1" w:color="002664"/>
        </w:pBdr>
      </w:pPr>
      <w:r>
        <w:rPr>
          <w:b/>
          <w:color w:val="002664"/>
          <w:sz w:val="30"/>
        </w:rPr>
        <w:t xml:space="preserve">6. Deployment &amp;amp; Configuration</w:t>
      </w:r>
    </w:p>
    <w:p>
      <w:pPr>
        <w:spacing w:before="0" w:after="60"/>
        <w:ind w:left="360" w:hanging="360"/>
      </w:pPr>
      <w:r>
        <w:rPr>
          <w:sz w:val="20"/>
        </w:rPr>
        <w:t xml:space="preserve">1.  Deploy WT_BrokerSnapshotDocGenProvider, WT_BrokerSnapshotDocGenController (+ test classes), the WT_Broker_Snapshot_DocGen_Setting__mdt Custom Metadata Type, and the wt_BrokerSnapshotDocGen LWC from this repo.</w:t>
      </w:r>
    </w:p>
    <w:p>
      <w:pPr>
        <w:spacing w:before="0" w:after="60"/>
        <w:ind w:left="360" w:hanging="360"/>
      </w:pPr>
      <w:r>
        <w:rPr>
          <w:sz w:val="20"/>
        </w:rPr>
        <w:t xml:space="preserve">2.  In the Portwood app -&gt; New Template: Data Source = Apex Class (Data Provider) = WT_BrokerSnapshotDocGenProvider; upload WT_Broker_Snapshot_Template.docx; Base Object = Account; Output Format = PDF; mark Active; save.</w:t>
      </w:r>
    </w:p>
    <w:p>
      <w:pPr>
        <w:spacing w:before="0" w:after="60"/>
        <w:ind w:left="360" w:hanging="360"/>
      </w:pPr>
      <w:r>
        <w:rPr>
          <w:sz w:val="20"/>
        </w:rPr>
        <w:t xml:space="preserve">3.  Setup -&gt; Custom Metadata Types -&gt; WT Broker Snapshot DocGen Setting -&gt; Default record -&gt; set Template Id to the template record's Id from step 2. This is environment-specific (sandbox and production get different Ids) and must be re-set after creating the template in each new environment.</w:t>
      </w:r>
    </w:p>
    <w:p>
      <w:pPr>
        <w:spacing w:before="0" w:after="60"/>
        <w:ind w:left="360" w:hanging="360"/>
      </w:pPr>
      <w:r>
        <w:rPr>
          <w:sz w:val="20"/>
        </w:rPr>
        <w:t xml:space="preserve">4.  Add the wt_BrokerSnapshotDocGen component to the Account Lightning Record Page (e.g. a new "Broker Snapshot" tab) via Lightning App Builder.</w:t>
      </w:r>
    </w:p>
    <w:p>
      <w:pPr>
        <w:spacing w:before="0" w:after="60"/>
        <w:ind w:left="360" w:hanging="360"/>
      </w:pPr>
      <w:r>
        <w:rPr>
          <w:sz w:val="20"/>
        </w:rPr>
        <w:t xml:space="preserve">5.  Confirm running users' permission sets grant standard Files (ContentDocument/ContentVersion/ContentDocumentLink) create, read and delete access. (No special permission is required to read WT_Broker_Snapshot_DocGen_Setting__mdt â€” Custom Metadata Type records are readable by any authenticated user by default.)</w:t>
      </w:r>
    </w:p>
    <w:p>
      <w:pPr>
        <w:spacing w:before="0" w:after="60"/>
        <w:ind w:left="360" w:hanging="360"/>
      </w:pPr>
      <w:r>
        <w:rPr>
          <w:sz w:val="20"/>
        </w:rPr>
        <w:t xml:space="preserve">6.  Retire the "Broker Snapshot" tab pointing at WT_BrokerSnapshotDynamic.page from the Account page layout once the new tab is validated.</w:t>
      </w:r>
    </w:p>
    <w:p>
      <w:pPr>
        <w:spacing w:before="320" w:after="140"/>
        <w:pBdr>
          <w:bottom w:val="single" w:sz="6" w:space="1" w:color="002664"/>
        </w:pBdr>
      </w:pPr>
      <w:r>
        <w:rPr>
          <w:b/>
          <w:color w:val="002664"/>
          <w:sz w:val="30"/>
        </w:rPr>
        <w:t xml:space="preserve">7. Testing Summary</w:t>
      </w:r>
    </w:p>
    <w:tbl>
      <w:tblPr>
        <w:tblW w:w="9350" w:type="dxa"/>
        <w:tblBorders>
          <w:top w:val="single" w:sz="4" w:space="0" w:color="B7C6D9"/>
          <w:left w:val="single" w:sz="4" w:space="0" w:color="B7C6D9"/>
          <w:bottom w:val="single" w:sz="4" w:space="0" w:color="B7C6D9"/>
          <w:right w:val="single" w:sz="4" w:space="0" w:color="B7C6D9"/>
          <w:insideH w:val="single" w:sz="4" w:space="0" w:color="B7C6D9"/>
          <w:insideV w:val="single" w:sz="4" w:space="0" w:color="B7C6D9"/>
        </w:tblBorders>
        <w:tblLayout w:type="fixed"/>
        <w:tblLook w:val="0000"/>
      </w:tblPr>
      <w:tblGrid>
        <w:gridCol w:w="3400"/>
        <w:gridCol w:w="5950"/>
      </w:tblGrid>
      <w:tr>
        <w:trPr>
          <w:tblHeader/>
        </w:trPr>
        <w:tc>
          <w:tcPr>
            <w:tcW w:w="3400" w:type="dxa"/>
            <w:shd w:val="clear" w:color="auto" w:fill="002664"/>
          </w:tcPr>
          <w:p>
            <w:pPr>
              <w:spacing w:before="20" w:after="20"/>
            </w:pPr>
            <w:r>
              <w:rPr>
                <w:b/>
                <w:color w:val="FFFFFF"/>
                <w:sz w:val="18"/>
              </w:rPr>
              <w:t xml:space="preserve">Class</w:t>
            </w:r>
          </w:p>
        </w:tc>
        <w:tc>
          <w:tcPr>
            <w:tcW w:w="5950" w:type="dxa"/>
            <w:shd w:val="clear" w:color="auto" w:fill="002664"/>
          </w:tcPr>
          <w:p>
            <w:pPr>
              <w:spacing w:before="20" w:after="20"/>
            </w:pPr>
            <w:r>
              <w:rPr>
                <w:b/>
                <w:color w:val="FFFFFF"/>
                <w:sz w:val="18"/>
              </w:rPr>
              <w:t xml:space="preserve">Coverage focus</w:t>
            </w:r>
          </w:p>
        </w:tc>
      </w:tr>
      <w:tr>
        <w:tc>
          <w:tcPr>
            <w:tcW w:w="3400" w:type="dxa"/>
          </w:tcPr>
          <w:p>
            <w:pPr>
              <w:spacing w:before="20" w:after="20"/>
            </w:pPr>
            <w:r>
              <w:rPr>
                <w:sz w:val="18"/>
              </w:rPr>
              <w:t xml:space="preserve">WT_BrokerSnapshotDocGenProvider_T</w:t>
            </w:r>
          </w:p>
        </w:tc>
        <w:tc>
          <w:tcPr>
            <w:tcW w:w="5950" w:type="dxa"/>
          </w:tcPr>
          <w:p>
            <w:pPr>
              <w:spacing w:before="20" w:after="20"/>
            </w:pPr>
            <w:r>
              <w:rPr>
                <w:sz w:val="18"/>
              </w:rPr>
              <w:t xml:space="preserve">Full section map shape, field values (including boolean/currency passthrough), null-safe Account Executive contact chain, lost/top Opportunity loop rows, missing-Account handling, getFieldNames() completeness.</w:t>
            </w:r>
          </w:p>
        </w:tc>
      </w:tr>
      <w:tr>
        <w:tc>
          <w:tcPr>
            <w:tcW w:w="3400" w:type="dxa"/>
            <w:shd w:val="clear" w:color="auto" w:fill="F2F5F9"/>
          </w:tcPr>
          <w:p>
            <w:pPr>
              <w:spacing w:before="20" w:after="20"/>
            </w:pPr>
            <w:r>
              <w:rPr>
                <w:sz w:val="18"/>
              </w:rPr>
              <w:t xml:space="preserve">WT_BrokerSnapshotDocGenController_T</w:t>
            </w:r>
          </w:p>
        </w:tc>
        <w:tc>
          <w:tcPr>
            <w:tcW w:w="5950" w:type="dxa"/>
            <w:shd w:val="clear" w:color="auto" w:fill="F2F5F9"/>
          </w:tcPr>
          <w:p>
            <w:pPr>
              <w:spacing w:before="20" w:after="20"/>
            </w:pPr>
            <w:r>
              <w:rPr>
                <w:sz w:val="18"/>
              </w:rPr>
              <w:t xml:space="preserve">Null recordId handling, missing/invalid Template_Id__c error paths (via a test-only WT_Broker_Snapshot_DocGen_Setting__mdt override seam), successful generate() via a test-only ContentDocumentId override, retention pruning down to the 2 most recent documents, getLatestBrokerSnapshot() both when nothing has been generated yet and when multiple snapshots exist.</w:t>
            </w:r>
          </w:p>
        </w:tc>
      </w:tr>
    </w:tbl>
    <w:p>
      <w:pPr>
        <w:spacing w:after="0"/>
        <w:rPr>
          <w:sz w:val="8"/>
        </w:rPr>
      </w:pPr>
    </w:p>
    <w:p>
      <w:pPr>
        <w:spacing w:before="0" w:after="140"/>
      </w:pPr>
      <w:r>
        <w:rPr>
          <w:sz w:val="20"/>
        </w:rPr>
        <w:t xml:space="preserve">Real end-to-end generation through portwoodglobal.DocGenService cannot be exercised in an isolated Apex test (no access to an org-configured Portwood template from inside a test). Custom Metadata Type records ARE visible in Apex tests by default (unlike normal custom object rows), so generate() also exposes a @TestVisible docGenSettingOverride seam â€” without it, a test would depend on whatever Template_Id__c happens to be configured in the org it runs in. Together with the @TestVisible ContentDocumentId override, this lets tests validate every step around the actual Portwood call â€” template resolution failure, invalid-Id handling, file readback, DTO shape, and retention â€” deterministically in any org.</w:t>
      </w:r>
    </w:p>
    <w:p>
      <w:pPr>
        <w:spacing w:before="320" w:after="140"/>
        <w:pBdr>
          <w:bottom w:val="single" w:sz="6" w:space="1" w:color="002664"/>
        </w:pBdr>
      </w:pPr>
      <w:r>
        <w:rPr>
          <w:b/>
          <w:color w:val="002664"/>
          <w:sz w:val="30"/>
        </w:rPr>
        <w:t xml:space="preserve">8. Assumptions, Risks &amp;amp; Open Items</w:t>
      </w:r>
    </w:p>
    <w:p>
      <w:pPr>
        <w:spacing w:before="0" w:after="60"/>
        <w:ind w:left="360" w:hanging="180"/>
      </w:pPr>
      <w:r>
        <w:rPr>
          <w:sz w:val="20"/>
        </w:rPr>
        <w:t xml:space="preserve">•  Verified against the Portwood public source (github.com/Portwood-Global-Solutions/Portwood) rather than a live org with the package installed â€” first deploy should confirm portwoodglobal.DocGenService.generateDocument behaves as documented for this org's package version.</w:t>
      </w:r>
    </w:p>
    <w:p>
      <w:pPr>
        <w:spacing w:before="0" w:after="60"/>
        <w:ind w:left="360" w:hanging="180"/>
      </w:pPr>
      <w:r>
        <w:rPr>
          <w:sz w:val="20"/>
        </w:rPr>
        <w:t xml:space="preserve">•  The Account Executive Email/Phone fields depend on Account.Servicing_Team_Lookup__r.Contact_1__r â€” if that lookup chain is renamed or removed, WT_BrokerSnapshotDocGenProvider.buildGeneralMap needs a matching update.</w:t>
      </w:r>
    </w:p>
    <w:p>
      <w:pPr>
        <w:spacing w:before="0" w:after="60"/>
        <w:ind w:left="360" w:hanging="180"/>
      </w:pPr>
      <w:r>
        <w:rPr>
          <w:sz w:val="20"/>
        </w:rPr>
        <w:t xml:space="preserve">•  This repo has no existing Account Flexipage/App Page metadata, so placing the LWC on the record page is a manual Lightning App Builder step per org rather than a deployable metadata change.</w:t>
      </w:r>
    </w:p>
    <w:p>
      <w:pPr>
        <w:spacing w:before="0" w:after="60"/>
        <w:ind w:left="360" w:hanging="180"/>
      </w:pPr>
      <w:r>
        <w:rPr>
          <w:sz w:val="20"/>
        </w:rPr>
        <w:t xml:space="preserve">•  The retention policy identifies "our" files purely by ContentDocument.Title = "Broker Snapshot" â€” renaming the documentTitle passed to generateDocument (or letting a user manually rename a generated file) would remove it from both the "latest" lookup and the retention count.</w:t>
      </w:r>
    </w:p>
    <w:p>
      <w:pPr>
        <w:spacing w:before="0" w:after="60"/>
        <w:ind w:left="360" w:hanging="180"/>
      </w:pPr>
      <w:r>
        <w:rPr>
          <w:sz w:val="20"/>
        </w:rPr>
        <w:t xml:space="preserve">•  The Portwood template Id is configured once per environment on WT_Broker_Snapshot_DocGen_Setting__mdt.Default â€” if that record is left blank after a deploy (or a sandbox refresh wipes it), generate() fails with a clear "No Portwood template Id configured" error rather than silently using the wrong template.</w:t>
      </w:r>
    </w:p>
    <w:p>
      <w:pPr>
        <w:spacing w:before="0" w:after="60"/>
        <w:ind w:left="360" w:hanging="180"/>
      </w:pPr>
      <w:r>
        <w:rPr>
          <w:sz w:val="20"/>
        </w:rPr>
        <w:t xml:space="preserve">•  Three preview modes ship side by side deliberately (section 2.3) because none could be validated against a live org during this design: Standard Preview depends on the filePreview named page behaving as documented, Inline (pdf.js) depends on LWS actually permitting postMessage into a same-origin static-resource iframe in this org's specific configuration, and Inline (Simple) depends on an admin having set File Upload and Download Security -&gt; PDF -&gt; Execute in Browser. Confirm all three after deploying, then remove the toggle and the losing modes' code (and, if Inline (pdf.js) loses, the WT_BrokerSnapshotPdfViewer static resource) rather than leaving all three indefinitely.</w:t>
      </w:r>
    </w:p>
    <w:p>
      <w:pPr>
        <w:spacing w:before="0" w:after="60"/>
        <w:ind w:left="360" w:hanging="180"/>
      </w:pPr>
      <w:r>
        <w:rPr>
          <w:sz w:val="20"/>
        </w:rPr>
        <w:t xml:space="preserve">•  The Inline (pdf.js) mode only works for files at/under inlineDownloadMaxBytes (~3.5MB) â€” larger snapshots fall back to another mode. Broker Snapshot PDFs are text/table-heavy business documents and comfortably under this limit in practice, but this is worth confirming against a real generated file.</w:t>
      </w:r>
    </w:p>
    <w:p>
      <w:pPr>
        <w:spacing w:before="0" w:after="60"/>
        <w:ind w:left="360" w:hanging="180"/>
      </w:pPr>
      <w:r>
        <w:rPr>
          <w:sz w:val="20"/>
        </w:rPr>
        <w:t xml:space="preserve">•  Inline (Simple)'s File Upload and Download Security setting is per-file-type but org-wide â€” setting PDF to Execute in Browser affects every PDF served through the servlet download URL pattern across the org, not just Broker Snapshot files. This is an admin/security decision to make deliberately, not a side effect of deploying this feature.</w:t>
      </w:r>
    </w:p>
    <w:p>
      <w:pPr>
        <w:pageBreakBefore/>
      </w:pPr>
    </w:p>
    <w:p>
      <w:pPr>
        <w:spacing w:before="320" w:after="140"/>
        <w:pBdr>
          <w:bottom w:val="single" w:sz="6" w:space="1" w:color="002664"/>
        </w:pBdr>
      </w:pPr>
      <w:r>
        <w:rPr>
          <w:b/>
          <w:color w:val="002664"/>
          <w:sz w:val="30"/>
        </w:rPr>
        <w:t xml:space="preserve">9. Broker Snapshot External Variant</w:t>
      </w:r>
    </w:p>
    <w:p>
      <w:pPr>
        <w:spacing w:before="0" w:after="140"/>
      </w:pPr>
      <w:r>
        <w:rPr>
          <w:sz w:val="20"/>
        </w:rPr>
        <w:t xml:space="preserve">WT_BrokerSnapshotExternal.page reused WT_BrokerSnapshotDynamicController but rendered a trimmed field set and, on every render, inserted a Broker_Snapshot_External_Usage__c record auditing who generated the external-facing snapshot and for which Account. The LWC migration keeps that same data relationship â€” one shared Apex data provider â€” while giving the External document its own independent Apex controller, LWC, template and retention/audit behavior.</w:t>
      </w:r>
    </w:p>
    <w:p>
      <w:pPr>
        <w:spacing w:before="220" w:after="100"/>
      </w:pPr>
      <w:r>
        <w:rPr>
          <w:b/>
          <w:color w:val="1F4E79"/>
          <w:sz w:val="24"/>
        </w:rPr>
        <w:t xml:space="preserve">9.1 What is shared vs. independent</w:t>
      </w:r>
    </w:p>
    <w:tbl>
      <w:tblPr>
        <w:tblW w:w="9350" w:type="dxa"/>
        <w:tblBorders>
          <w:top w:val="single" w:sz="4" w:space="0" w:color="B7C6D9"/>
          <w:left w:val="single" w:sz="4" w:space="0" w:color="B7C6D9"/>
          <w:bottom w:val="single" w:sz="4" w:space="0" w:color="B7C6D9"/>
          <w:right w:val="single" w:sz="4" w:space="0" w:color="B7C6D9"/>
          <w:insideH w:val="single" w:sz="4" w:space="0" w:color="B7C6D9"/>
          <w:insideV w:val="single" w:sz="4" w:space="0" w:color="B7C6D9"/>
        </w:tblBorders>
        <w:tblLayout w:type="fixed"/>
        <w:tblLook w:val="0000"/>
      </w:tblPr>
      <w:tblGrid>
        <w:gridCol w:w="3200"/>
        <w:gridCol w:w="6150"/>
      </w:tblGrid>
      <w:tr>
        <w:trPr>
          <w:tblHeader/>
        </w:trPr>
        <w:tc>
          <w:tcPr>
            <w:tcW w:w="3200" w:type="dxa"/>
            <w:shd w:val="clear" w:color="auto" w:fill="002664"/>
          </w:tcPr>
          <w:p>
            <w:pPr>
              <w:spacing w:before="20" w:after="20"/>
            </w:pPr>
            <w:r>
              <w:rPr>
                <w:b/>
                <w:color w:val="FFFFFF"/>
                <w:sz w:val="18"/>
              </w:rPr>
              <w:t xml:space="preserve">Piece</w:t>
            </w:r>
          </w:p>
        </w:tc>
        <w:tc>
          <w:tcPr>
            <w:tcW w:w="6150" w:type="dxa"/>
            <w:shd w:val="clear" w:color="auto" w:fill="002664"/>
          </w:tcPr>
          <w:p>
            <w:pPr>
              <w:spacing w:before="20" w:after="20"/>
            </w:pPr>
            <w:r>
              <w:rPr>
                <w:b/>
                <w:color w:val="FFFFFF"/>
                <w:sz w:val="18"/>
              </w:rPr>
              <w:t xml:space="preserve">Shared or independent?</w:t>
            </w:r>
          </w:p>
        </w:tc>
      </w:tr>
      <w:tr>
        <w:tc>
          <w:tcPr>
            <w:tcW w:w="3200" w:type="dxa"/>
          </w:tcPr>
          <w:p>
            <w:pPr>
              <w:spacing w:before="20" w:after="20"/>
            </w:pPr>
            <w:r>
              <w:rPr>
                <w:sz w:val="18"/>
              </w:rPr>
              <w:t xml:space="preserve">Data provider</w:t>
            </w:r>
          </w:p>
        </w:tc>
        <w:tc>
          <w:tcPr>
            <w:tcW w:w="6150" w:type="dxa"/>
          </w:tcPr>
          <w:p>
            <w:pPr>
              <w:spacing w:before="20" w:after="20"/>
            </w:pPr>
            <w:r>
              <w:rPr>
                <w:sz w:val="18"/>
              </w:rPr>
              <w:t xml:space="preserve">Shared â€” WT_BrokerSnapshotDocGenProvider supplies both templates. The External template simply references fewer of its merge tags; no new Apex query logic was needed.</w:t>
            </w:r>
          </w:p>
        </w:tc>
      </w:tr>
      <w:tr>
        <w:tc>
          <w:tcPr>
            <w:tcW w:w="3200" w:type="dxa"/>
            <w:shd w:val="clear" w:color="auto" w:fill="F2F5F9"/>
          </w:tcPr>
          <w:p>
            <w:pPr>
              <w:spacing w:before="20" w:after="20"/>
            </w:pPr>
            <w:r>
              <w:rPr>
                <w:sz w:val="18"/>
              </w:rPr>
              <w:t xml:space="preserve">Custom Metadata Type</w:t>
            </w:r>
          </w:p>
        </w:tc>
        <w:tc>
          <w:tcPr>
            <w:tcW w:w="6150" w:type="dxa"/>
            <w:shd w:val="clear" w:color="auto" w:fill="F2F5F9"/>
          </w:tcPr>
          <w:p>
            <w:pPr>
              <w:spacing w:before="20" w:after="20"/>
            </w:pPr>
            <w:r>
              <w:rPr>
                <w:sz w:val="18"/>
              </w:rPr>
              <w:t xml:space="preserve">Shared record, independent fields â€” WT_Broker_Snapshot_DocGen_Setting__mdt.Default carries both Template_Id__c (Dynamic) and External_Template_Id__c (External).</w:t>
            </w:r>
          </w:p>
        </w:tc>
      </w:tr>
      <w:tr>
        <w:tc>
          <w:tcPr>
            <w:tcW w:w="3200" w:type="dxa"/>
          </w:tcPr>
          <w:p>
            <w:pPr>
              <w:spacing w:before="20" w:after="20"/>
            </w:pPr>
            <w:r>
              <w:rPr>
                <w:sz w:val="18"/>
              </w:rPr>
              <w:t xml:space="preserve">Apex controller</w:t>
            </w:r>
          </w:p>
        </w:tc>
        <w:tc>
          <w:tcPr>
            <w:tcW w:w="6150" w:type="dxa"/>
          </w:tcPr>
          <w:p>
            <w:pPr>
              <w:spacing w:before="20" w:after="20"/>
            </w:pPr>
            <w:r>
              <w:rPr>
                <w:sz w:val="18"/>
              </w:rPr>
              <w:t xml:space="preserve">Independent â€” WT_BrokerSnapshotExternalDocGenController is a self-contained copy of WT_BrokerSnapshotDocGenController's generate/retention/lookup logic, not a shared base class, so the two document variants can be configured and maintained without touching each other.</w:t>
            </w:r>
          </w:p>
        </w:tc>
      </w:tr>
      <w:tr>
        <w:tc>
          <w:tcPr>
            <w:tcW w:w="3200" w:type="dxa"/>
            <w:shd w:val="clear" w:color="auto" w:fill="F2F5F9"/>
          </w:tcPr>
          <w:p>
            <w:pPr>
              <w:spacing w:before="20" w:after="20"/>
            </w:pPr>
            <w:r>
              <w:rPr>
                <w:sz w:val="18"/>
              </w:rPr>
              <w:t xml:space="preserve">LWC</w:t>
            </w:r>
          </w:p>
        </w:tc>
        <w:tc>
          <w:tcPr>
            <w:tcW w:w="6150" w:type="dxa"/>
            <w:shd w:val="clear" w:color="auto" w:fill="F2F5F9"/>
          </w:tcPr>
          <w:p>
            <w:pPr>
              <w:spacing w:before="20" w:after="20"/>
            </w:pPr>
            <w:r>
              <w:rPr>
                <w:sz w:val="18"/>
              </w:rPr>
              <w:t xml:space="preserve">Independent â€” wt_BrokerSnapshotExternalDocGen is a separate bundle (own Apex imports, own labels), not a parameterized/shared component. Its three preview modes (section 2.3) work identically to the Dynamic LWC's.</w:t>
            </w:r>
          </w:p>
        </w:tc>
      </w:tr>
      <w:tr>
        <w:tc>
          <w:tcPr>
            <w:tcW w:w="3200" w:type="dxa"/>
          </w:tcPr>
          <w:p>
            <w:pPr>
              <w:spacing w:before="20" w:after="20"/>
            </w:pPr>
            <w:r>
              <w:rPr>
                <w:sz w:val="18"/>
              </w:rPr>
              <w:t xml:space="preserve">Inline (pdf.js) static resource</w:t>
            </w:r>
          </w:p>
        </w:tc>
        <w:tc>
          <w:tcPr>
            <w:tcW w:w="6150" w:type="dxa"/>
          </w:tcPr>
          <w:p>
            <w:pPr>
              <w:spacing w:before="20" w:after="20"/>
            </w:pPr>
            <w:r>
              <w:rPr>
                <w:sz w:val="18"/>
              </w:rPr>
              <w:t xml:space="preserve">Shared â€” both LWCs point at the same WT_BrokerSnapshotPdfViewer static resource; it has no document-specific logic.</w:t>
            </w:r>
          </w:p>
        </w:tc>
      </w:tr>
      <w:tr>
        <w:tc>
          <w:tcPr>
            <w:tcW w:w="3200" w:type="dxa"/>
            <w:shd w:val="clear" w:color="auto" w:fill="F2F5F9"/>
          </w:tcPr>
          <w:p>
            <w:pPr>
              <w:spacing w:before="20" w:after="20"/>
            </w:pPr>
            <w:r>
              <w:rPr>
                <w:sz w:val="18"/>
              </w:rPr>
              <w:t xml:space="preserve">Generated-file title &amp; retention</w:t>
            </w:r>
          </w:p>
        </w:tc>
        <w:tc>
          <w:tcPr>
            <w:tcW w:w="6150" w:type="dxa"/>
            <w:shd w:val="clear" w:color="auto" w:fill="F2F5F9"/>
          </w:tcPr>
          <w:p>
            <w:pPr>
              <w:spacing w:before="20" w:after="20"/>
            </w:pPr>
            <w:r>
              <w:rPr>
                <w:sz w:val="18"/>
              </w:rPr>
              <w:t xml:space="preserve">Independent â€” titled "Broker Snapshot External" (vs. "Broker Snapshot"), so each variant's "latest snapshot" lookup and 2-document retention policy only ever sees its own files on the Account, never the other variant's.</w:t>
            </w:r>
          </w:p>
        </w:tc>
      </w:tr>
      <w:tr>
        <w:tc>
          <w:tcPr>
            <w:tcW w:w="3200" w:type="dxa"/>
          </w:tcPr>
          <w:p>
            <w:pPr>
              <w:spacing w:before="20" w:after="20"/>
            </w:pPr>
            <w:r>
              <w:rPr>
                <w:sz w:val="18"/>
              </w:rPr>
              <w:t xml:space="preserve">Usage audit logging</w:t>
            </w:r>
          </w:p>
        </w:tc>
        <w:tc>
          <w:tcPr>
            <w:tcW w:w="6150" w:type="dxa"/>
          </w:tcPr>
          <w:p>
            <w:pPr>
              <w:spacing w:before="20" w:after="20"/>
            </w:pPr>
            <w:r>
              <w:rPr>
                <w:sz w:val="18"/>
              </w:rPr>
              <w:t xml:space="preserve">External-only â€” every successful WT_BrokerSnapshotExternalDocGenController.generate() call inserts one Broker_Snapshot_External_Usage__c record. WT_BrokerSnapshotDocGenController has no equivalent, matching the legacy pages (only WT_BrokerSnapshotExternal.page had the action="{!createBrokerSnapshotExternalUsageRecord}").</w:t>
            </w:r>
          </w:p>
        </w:tc>
      </w:tr>
    </w:tbl>
    <w:p>
      <w:pPr>
        <w:spacing w:after="0"/>
        <w:rPr>
          <w:sz w:val="8"/>
        </w:rPr>
      </w:pPr>
    </w:p>
    <w:p>
      <w:pPr>
        <w:spacing w:before="220" w:after="100"/>
      </w:pPr>
      <w:r>
        <w:rPr>
          <w:b/>
          <w:color w:val="1F4E79"/>
          <w:sz w:val="24"/>
        </w:rPr>
        <w:t xml:space="preserve">9.2 Data flow difference â€” usage audit logging</w:t>
      </w:r>
    </w:p>
    <w:p>
      <w:pPr>
        <w:spacing w:before="0" w:after="140"/>
      </w:pPr>
      <w:r>
        <w:rPr>
          <w:sz w:val="20"/>
        </w:rPr>
        <w:t xml:space="preserve">Steps 1-3 and 5-7 of section 3.1 apply identically (substituting WT_BrokerSnapshotExternalDocGenController and the "Broker Snapshot External" title). The one addition:</w:t>
      </w:r>
    </w:p>
    <w:p>
      <w:pPr>
        <w:spacing w:before="0" w:after="60"/>
        <w:ind w:left="360" w:hanging="360"/>
      </w:pPr>
      <w:r>
        <w:rPr>
          <w:sz w:val="20"/>
        </w:rPr>
        <w:t xml:space="preserve">1.  Immediately after a successful generateDocument() call, the controller inserts a Broker_Snapshot_External_Usage__c record: Executed_By__c = UserInfo.getUserId(), Executed_on_Agent_Broker__c = the Account Id â€” mirroring createBrokerSnapshotExternalUsageRecord() on the legacy controller (insert as user, non-blocking on failure).</w:t>
      </w:r>
    </w:p>
    <w:p>
      <w:pPr>
        <w:spacing w:before="0" w:after="60"/>
        <w:ind w:left="360" w:hanging="360"/>
      </w:pPr>
      <w:r>
        <w:rPr>
          <w:sz w:val="20"/>
        </w:rPr>
        <w:t xml:space="preserve">2.  Unlike the legacy page (where every page view was a new render, and therefore a new audit record), the LWC distinguishes "generate a new PDF" from "view a previously generated one". The audit record is logged on generate() only, not on getLatestBrokerSnapshot() â€” viewing an already-generated snapshot via the file card does not log a second entry.</w:t>
      </w:r>
    </w:p>
    <w:p>
      <w:pPr>
        <w:spacing w:before="220" w:after="100"/>
      </w:pPr>
      <w:r>
        <w:rPr>
          <w:b/>
          <w:color w:val="1F4E79"/>
          <w:sz w:val="24"/>
        </w:rPr>
        <w:t xml:space="preserve">9.3 Field differences from the Dynamic template</w:t>
      </w:r>
    </w:p>
    <w:p>
      <w:pPr>
        <w:spacing w:before="0" w:after="140"/>
      </w:pPr>
      <w:r>
        <w:rPr>
          <w:sz w:val="20"/>
        </w:rPr>
        <w:t xml:space="preserve">WT_BrokerSnapshotExternal.page never printed these fields (present in the Dynamic template, omitted from the External one):</w:t>
      </w:r>
    </w:p>
    <w:p>
      <w:pPr>
        <w:spacing w:before="0" w:after="60"/>
        <w:ind w:left="360" w:hanging="180"/>
      </w:pPr>
      <w:r>
        <w:rPr>
          <w:sz w:val="20"/>
        </w:rPr>
        <w:t xml:space="preserve">•  General: FIRST / Competitor Usage (gen.CompUsage), FIRST Competitor (gen.CompName).</w:t>
      </w:r>
    </w:p>
    <w:p>
      <w:pPr>
        <w:spacing w:before="0" w:after="60"/>
        <w:ind w:left="360" w:hanging="180"/>
      </w:pPr>
      <w:r>
        <w:rPr>
          <w:sz w:val="20"/>
        </w:rPr>
        <w:t xml:space="preserve">•  Added Value: Agency Development Program (addval.AgDevProg), Interest in Sports Tickets (addval.IntSportTix).</w:t>
      </w:r>
    </w:p>
    <w:p>
      <w:pPr>
        <w:spacing w:before="0" w:after="140"/>
      </w:pPr>
      <w:r>
        <w:rPr>
          <w:sz w:val="20"/>
        </w:rPr>
        <w:t xml:space="preserve">Compensation fields are the same 9 fields as the Dynamic template, but in the External page's own panelGrid order: FIRST Rewards, New York Service Agreement, Estimated Bonus Amount / Pre-Paid Agreement, Pre-Paid Remaining Balance, Bonus / Late Fee and Loss Sharing, Fee Payment Frequency, Estimated Late Fee Amount. Every other section (Scorecard, e-Complete, Cross Selling, Production, Historical Production, and both Opportunity loop tables) matches the Dynamic template exactly, field-for-field.</w:t>
      </w:r>
    </w:p>
    <w:p>
      <w:pPr>
        <w:spacing w:before="220" w:after="100"/>
      </w:pPr>
      <w:r>
        <w:rPr>
          <w:b/>
          <w:color w:val="1F4E79"/>
          <w:sz w:val="24"/>
        </w:rPr>
        <w:t xml:space="preserve">9.4 Deployment addendum</w:t>
      </w:r>
    </w:p>
    <w:p>
      <w:pPr>
        <w:spacing w:before="0" w:after="60"/>
        <w:ind w:left="360" w:hanging="360"/>
      </w:pPr>
      <w:r>
        <w:rPr>
          <w:sz w:val="20"/>
        </w:rPr>
        <w:t xml:space="preserve">1.  Deploy WT_BrokerSnapshotExternalDocGenController (+ test class) and the wt_BrokerSnapshotExternalDocGen LWC alongside the Dynamic-variant components.</w:t>
      </w:r>
    </w:p>
    <w:p>
      <w:pPr>
        <w:spacing w:before="0" w:after="60"/>
        <w:ind w:left="360" w:hanging="360"/>
      </w:pPr>
      <w:r>
        <w:rPr>
          <w:sz w:val="20"/>
        </w:rPr>
        <w:t xml:space="preserve">2.  Create a second Portwood template from WT_Broker_Snapshot_External_Template.docx (same Data Source = WT_BrokerSnapshotDocGenProvider), and set External Template Id on the WT_Broker_Snapshot_DocGen_Setting__mdt.Default record to its Id.</w:t>
      </w:r>
    </w:p>
    <w:p>
      <w:pPr>
        <w:spacing w:before="0" w:after="60"/>
        <w:ind w:left="360" w:hanging="360"/>
      </w:pPr>
      <w:r>
        <w:rPr>
          <w:sz w:val="20"/>
        </w:rPr>
        <w:t xml:space="preserve">3.  Add wt_BrokerSnapshotExternalDocGen to the Account record page (a separate tab from the Dynamic variant, e.g. "Broker Snapshot External").</w:t>
      </w:r>
    </w:p>
    <w:p>
      <w:pPr>
        <w:spacing w:before="0" w:after="60"/>
        <w:ind w:left="360" w:hanging="360"/>
      </w:pPr>
      <w:r>
        <w:rPr>
          <w:sz w:val="20"/>
        </w:rPr>
        <w:t xml:space="preserve">4.  Grant create access to Broker_Snapshot_External_Usage__c for any user who will generate External snapshots.</w:t>
      </w:r>
    </w:p>
    <w:p>
      <w:pPr>
        <w:spacing w:before="220" w:after="100"/>
      </w:pPr>
      <w:r>
        <w:rPr>
          <w:b/>
          <w:color w:val="1F4E79"/>
          <w:sz w:val="24"/>
        </w:rPr>
        <w:t xml:space="preserve">9.5 Testing Summary Addendum</w:t>
      </w:r>
    </w:p>
    <w:p>
      <w:pPr>
        <w:spacing w:before="0" w:after="140"/>
      </w:pPr>
      <w:r>
        <w:rPr>
          <w:sz w:val="20"/>
        </w:rPr>
        <w:t xml:space="preserve">WT_BrokerSnapshotExternalDocGenController_T covers the same scenarios as the Dynamic controller's test class (null recordId, missing/invalid template Id via the docGenSettingOverride seam, successful generate() via the ContentDocumentId override, getLatestBrokerSnapshot() found/not-found), plus two External-specific assertions: exactly one Broker_Snapshot_External_Usage__c record is logged per successful generate() call, and a pre-existing Dynamic-titled ("Broker Snapshot") document on the same Account is neither counted nor pruned by External's retention pass â€” proving the two variants' file-title isolation actually holds.</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cs="Calibri"/>
        <w:sz w:val="20"/>
      </w:rPr>
    </w:rPrDefault>
  </w:docDefaults>
  <w:style w:type="paragraph" w:default="1" w:styleId="Normal">
    <w:name w:val="Normal"/>
  </w:style>
</w:styles>
</file>

<file path=word/_rels/document.xml.rels>&#65279;<?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DeploymentLens</Application>
</Properties>
</file>

<file path=docProps/core.xml><?xml version="1.0" encoding="utf-8"?>
<cp:coreProperties xmlns:cp="http://schemas.openxmlformats.org/package/2006/metadata/core-properties" xmlns:dc="http://purl.org/dc/elements/1.1/">
  <dc:title>Broker Snapshot Technical Design</dc:title>
  <dc:creator>DeploymentLens</dc:creator>
</cp:coreProperties>
</file>