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AURORA DYNAMICS KFT.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CAFETÉRIA SZABÁLYZAT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Hatályos: 2027. január 1-jétől  |  Verziószám: 1.0</w:t>
      </w:r>
    </w:p>
    <w:p>
      <w:pPr>
        <w:pStyle w:val="Heading1"/>
        <w:spacing w:after="140" w:before="260"/>
      </w:pPr>
      <w:r>
        <w:t xml:space="preserve">1. A szabályzat célja és hatálya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Jelen szabályzat célja, hogy meghatározza az Aurora Dynamics Kft. (a továbbiakban: Munkáltató) által biztosított cafetériajuttatások (a továbbiakban: cafetéria) rendszerét, az igénybevétel feltételeit, valamint a választható elemek körét és mértékét. A szabályzat hatálya kiterjed a Munkáltatóval munkaviszonyban álló valamennyi teljes és részmunkaidős munkavállalóra, a próbaidő leteltét követően.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szabályzat a mindenkor hatályos, a személyi jövedelemadóról szóló törvény, valamint a társadalombiztosítási járulékfizetésre vonatkozó jogszabályok rendelkezéseivel összhangban készült; az azokban bekövetkező változás esetén a Munkáltató a szabályzat rendelkezéseit egyoldalúan módosíthatja.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szabályzat hatálya nem terjed ki a megbízási vagy vállalkozási jogviszony keretében foglalkoztatott személyekre, valamint a fizetés nélküli szabadságon lévő munkavállalókra a távollét időtartamára.</w:t>
      </w:r>
    </w:p>
    <w:p>
      <w:pPr>
        <w:pStyle w:val="Heading1"/>
        <w:spacing w:after="140" w:before="260"/>
      </w:pPr>
      <w:r>
        <w:t xml:space="preserve">2. Fogalommeghatározások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Cafetériakeret: </w:t>
      </w:r>
      <w:r>
        <w:rPr>
          <w:rFonts w:ascii="Calibri" w:cs="Calibri" w:eastAsia="Calibri" w:hAnsi="Calibri"/>
          <w:sz w:val="22"/>
          <w:szCs w:val="22"/>
        </w:rPr>
        <w:t xml:space="preserve">az a bruttó éves összeg, amelyet a Munkáltató a jogosult munkavállaló részére cafetériajuttatás formájában biztosít.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Juttatási elem: </w:t>
      </w:r>
      <w:r>
        <w:rPr>
          <w:rFonts w:ascii="Calibri" w:cs="Calibri" w:eastAsia="Calibri" w:hAnsi="Calibri"/>
          <w:sz w:val="22"/>
          <w:szCs w:val="22"/>
        </w:rPr>
        <w:t xml:space="preserve">a cafetériakereten belül választható, önállóan igényelhető juttatástípus (például SZÉP Kártya vagy önkéntes pénztári hozzájárulás).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Elszámolási időszak: </w:t>
      </w:r>
      <w:r>
        <w:rPr>
          <w:rFonts w:ascii="Calibri" w:cs="Calibri" w:eastAsia="Calibri" w:hAnsi="Calibri"/>
          <w:sz w:val="22"/>
          <w:szCs w:val="22"/>
        </w:rPr>
        <w:t xml:space="preserve">az a naptári év, amelyre a cafetériakeret vonatkozik.</w:t>
      </w:r>
    </w:p>
    <w:p>
      <w:pPr>
        <w:pStyle w:val="Heading1"/>
        <w:spacing w:after="140" w:before="260"/>
      </w:pPr>
      <w:r>
        <w:t xml:space="preserve">3. A cafetériarendszer elemei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Munkáltató a cafetériakereten belül az alábbi juttatási elemek közötti szabad választást biztosítja a jogosult munkavállalók részére: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2700"/>
        <w:gridCol w:w="2750"/>
      </w:tblGrid>
      <w:tr>
        <w:trPr>
          <w:tblHeader/>
        </w:trPr>
        <w:tc>
          <w:tcPr>
            <w:tcW w:type="dxa" w:w="3900"/>
            <w:shd w:fill="D9E2F3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Juttatási elem</w:t>
            </w:r>
          </w:p>
        </w:tc>
        <w:tc>
          <w:tcPr>
            <w:tcW w:type="dxa" w:w="2700"/>
            <w:shd w:fill="D9E2F3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Éves maximális összeg</w:t>
            </w:r>
          </w:p>
        </w:tc>
        <w:tc>
          <w:tcPr>
            <w:tcW w:type="dxa" w:w="2750"/>
            <w:shd w:fill="D9E2F3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Megjegyzés</w:t>
            </w:r>
          </w:p>
        </w:tc>
      </w:tr>
      <w:tr>
        <w:tc>
          <w:tcPr>
            <w:tcW w:type="dxa" w:w="3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SZÉP Kártya – vendéglátás alszámla</w:t>
            </w:r>
          </w:p>
        </w:tc>
        <w:tc>
          <w:tcPr>
            <w:tcW w:type="dxa" w:w="27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150 000 Ft</w:t>
            </w:r>
          </w:p>
        </w:tc>
        <w:tc>
          <w:tcPr>
            <w:tcW w:type="dxa" w:w="27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Kedvezményes közteher a mindenkori keretig</w:t>
            </w:r>
          </w:p>
        </w:tc>
      </w:tr>
      <w:tr>
        <w:tc>
          <w:tcPr>
            <w:tcW w:type="dxa" w:w="3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SZÉP Kártya – szálláshely alszámla</w:t>
            </w:r>
          </w:p>
        </w:tc>
        <w:tc>
          <w:tcPr>
            <w:tcW w:type="dxa" w:w="27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100 000 Ft</w:t>
            </w:r>
          </w:p>
        </w:tc>
        <w:tc>
          <w:tcPr>
            <w:tcW w:type="dxa" w:w="27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Kedvezményes közteher a mindenkori keretig</w:t>
            </w:r>
          </w:p>
        </w:tc>
      </w:tr>
      <w:tr>
        <w:tc>
          <w:tcPr>
            <w:tcW w:type="dxa" w:w="3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SZÉP Kártya – szabadidő alszámla</w:t>
            </w:r>
          </w:p>
        </w:tc>
        <w:tc>
          <w:tcPr>
            <w:tcW w:type="dxa" w:w="27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75 000 Ft</w:t>
            </w:r>
          </w:p>
        </w:tc>
        <w:tc>
          <w:tcPr>
            <w:tcW w:type="dxa" w:w="27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Kedvezményes közteher a mindenkori keretig</w:t>
            </w:r>
          </w:p>
        </w:tc>
      </w:tr>
      <w:tr>
        <w:tc>
          <w:tcPr>
            <w:tcW w:type="dxa" w:w="3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Önkéntes nyugdíjpénztári hozzájárulás</w:t>
            </w:r>
          </w:p>
        </w:tc>
        <w:tc>
          <w:tcPr>
            <w:tcW w:type="dxa" w:w="27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55 000 Ft</w:t>
            </w:r>
          </w:p>
        </w:tc>
        <w:tc>
          <w:tcPr>
            <w:tcW w:type="dxa" w:w="27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választott pénztárba utalva</w:t>
            </w:r>
          </w:p>
        </w:tc>
      </w:tr>
      <w:tr>
        <w:tc>
          <w:tcPr>
            <w:tcW w:type="dxa" w:w="3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Önkéntes egészségpénztári hozzájárulás</w:t>
            </w:r>
          </w:p>
        </w:tc>
        <w:tc>
          <w:tcPr>
            <w:tcW w:type="dxa" w:w="27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85 000 Ft</w:t>
            </w:r>
          </w:p>
        </w:tc>
        <w:tc>
          <w:tcPr>
            <w:tcW w:type="dxa" w:w="27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választott pénztárba utalva</w:t>
            </w:r>
          </w:p>
        </w:tc>
      </w:tr>
      <w:tr>
        <w:tc>
          <w:tcPr>
            <w:tcW w:type="dxa" w:w="3900"/>
            <w:shd w:fill="D9E2F3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Összesen (éves cafetériakeret)</w:t>
            </w:r>
          </w:p>
        </w:tc>
        <w:tc>
          <w:tcPr>
            <w:tcW w:type="dxa" w:w="2700"/>
            <w:shd w:fill="D9E2F3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465 000 Ft</w:t>
            </w:r>
          </w:p>
        </w:tc>
        <w:tc>
          <w:tcPr>
            <w:tcW w:type="dxa" w:w="2750"/>
            <w:shd w:fill="D9E2F3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00"/>
      </w:pP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táblázatban szereplő összegek a 2027. évre megállapított éves keretösszegek; azokat a Munkáltató évente, a mindenkor hatályos adójogszabályok figyelembevételével felülvizsgálja, és a következő évi mértékről a munkavállalókat a tárgyév január 31-ig írásban tájékoztatja.</w:t>
      </w:r>
    </w:p>
    <w:p>
      <w:pPr>
        <w:pStyle w:val="Heading1"/>
        <w:spacing w:after="140" w:before="260"/>
      </w:pPr>
      <w:r>
        <w:t xml:space="preserve">4. A keretösszeg és a választás rendje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cafetériakeret éves összegét a Munkáltató minden év januárjában, a tárgyévre vonatkozóan állapítja meg; ez az összeg a 2027. évre 465 000 Ft. A munkavállaló a keretösszeg terhére a 3. pontban felsorolt elemek közül szabadon választhat, az egyes elemekre vonatkozó éves maximális összeg figyelembevételével.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Új belépő munkavállaló a próbaidő leteltét követő hónaptól jogosult a cafetériakeret időarányos részére. Év közbeni kilépés esetén a keretösszeg időarányosítására a 7. pont rendelkezései az irányadók.</w:t>
      </w:r>
    </w:p>
    <w:p>
      <w:pPr>
        <w:pStyle w:val="Heading1"/>
        <w:spacing w:after="140" w:before="260"/>
      </w:pPr>
      <w:r>
        <w:t xml:space="preserve">5. Igénylés, módosítás, folyósítás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munkavállaló a választását a Humánerőforrás Osztály által biztosított elektronikus felületen, a tárgyévet megelőző év december 15-éig, új belépőként pedig a próbaidő leteltekor adja meg. A választott elemek összetétele a naptári év során egy alkalommal, minden év június 30-ig módosítható.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juttatás folyósítása havi rendszerességgel, a tárgyhavi munkabérrel egyidejűleg, illetve a SZÉP Kártya esetén a kártyakibocsátó rendszerén keresztül történik.</w:t>
      </w:r>
    </w:p>
    <w:p>
      <w:pPr>
        <w:pStyle w:val="Heading1"/>
        <w:spacing w:after="140" w:before="260"/>
      </w:pPr>
      <w:r>
        <w:t xml:space="preserve">6. Adózási szabályok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cafetériaelemek adó- és járulékterhét a mindenkor hatályos jogszabályok szerint a Munkáltató viseli, és azt a jogszabályban előírt módon bevallja. A juttatások adómentes vagy kedvezményes adózású kereteinek túllépéséből eredő többletterhet a Munkáltató a munkavállalóra nem háríthatja át, kivéve, ha a túllépés a munkavállaló valótlan nyilatkozatából ered.</w:t>
      </w:r>
    </w:p>
    <w:p>
      <w:pPr>
        <w:pStyle w:val="Heading1"/>
        <w:spacing w:after="140" w:before="260"/>
      </w:pPr>
      <w:r>
        <w:t xml:space="preserve">7. Jogviszony megszűnése esetén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munkaviszony év közbeni megszűnése esetén a munkavállalót a keretösszegnek kizárólag a munkaviszonyban töltött időszakra eső, időarányos része illeti meg. A már igénybe vett, az időarányos részt meghaladó juttatás összegét a Munkáltató a munkavállaló utolsó elszámolásából levonhatja, amennyiben azt jogszabály lehetővé teszi.</w:t>
      </w:r>
    </w:p>
    <w:p>
      <w:pPr>
        <w:pStyle w:val="Heading1"/>
        <w:spacing w:after="140" w:before="260"/>
      </w:pPr>
      <w:r>
        <w:t xml:space="preserve">8. Panaszkezelés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cafetériajuttatások megállapításával, folyósításával vagy elszámolásával kapcsolatos kifogást a munkavállaló írásban, a Humánerőforrás Osztálynál nyújthatja be. A Humánerőforrás Osztály a bejelentést tizenöt munkanapon belül kivizsgálja, és a vizsgálat eredményéről a munkavállalót írásban tájékoztatja.</w:t>
      </w:r>
    </w:p>
    <w:p>
      <w:pPr>
        <w:pStyle w:val="Heading1"/>
        <w:spacing w:after="140" w:before="260"/>
      </w:pPr>
      <w:r>
        <w:t xml:space="preserve">9. Kapcsolattartási pontok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Az alábbi táblázat áttekintést nyújt arról, hogy a cafetériával kapcsolatos egyes ügyekben a munkavállaló kihez fordulhat.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D9E2F3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Ügytípus</w:t>
            </w:r>
          </w:p>
        </w:tc>
        <w:tc>
          <w:tcPr>
            <w:tcW w:type="dxa" w:w="4675"/>
            <w:shd w:fill="D9E2F3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Illetékes szervezeti egység</w:t>
            </w:r>
          </w:p>
        </w:tc>
      </w:tr>
      <w:tr>
        <w:tc>
          <w:tcPr>
            <w:tcW w:type="dxa" w:w="4675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Éves választás megadása, módosítása</w:t>
            </w:r>
          </w:p>
        </w:tc>
        <w:tc>
          <w:tcPr>
            <w:tcW w:type="dxa" w:w="4675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Humánerőforrás Osztály</w:t>
            </w:r>
          </w:p>
        </w:tc>
      </w:tr>
      <w:tr>
        <w:tc>
          <w:tcPr>
            <w:tcW w:type="dxa" w:w="4675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SZÉP Kártya igénylése, technikai probléma</w:t>
            </w:r>
          </w:p>
        </w:tc>
        <w:tc>
          <w:tcPr>
            <w:tcW w:type="dxa" w:w="4675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Kártyakibocsátó ügyfélszolgálata</w:t>
            </w:r>
          </w:p>
        </w:tc>
      </w:tr>
      <w:tr>
        <w:tc>
          <w:tcPr>
            <w:tcW w:type="dxa" w:w="4675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Bérszámfejtéssel, elszámolással kapcsolatos kérdés</w:t>
            </w:r>
          </w:p>
        </w:tc>
        <w:tc>
          <w:tcPr>
            <w:tcW w:type="dxa" w:w="4675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Pénzügyi Osztály</w:t>
            </w:r>
          </w:p>
        </w:tc>
      </w:tr>
      <w:tr>
        <w:tc>
          <w:tcPr>
            <w:tcW w:type="dxa" w:w="4675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Panasz, kifogás bejelentése</w:t>
            </w:r>
          </w:p>
        </w:tc>
        <w:tc>
          <w:tcPr>
            <w:tcW w:type="dxa" w:w="4675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Humánerőforrás Osztály</w:t>
            </w:r>
          </w:p>
        </w:tc>
      </w:tr>
    </w:tbl>
    <w:p>
      <w:pPr>
        <w:spacing w:before="200"/>
      </w:pPr>
    </w:p>
    <w:p>
      <w:pPr>
        <w:pStyle w:val="Heading1"/>
        <w:spacing w:after="140" w:before="260"/>
      </w:pPr>
      <w:r>
        <w:t xml:space="preserve">10. Záró rendelkezések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Jelen szabályzatot a Munkáltató vezetése hagyja jóvá, és az a kihirdetés napjától hatályos. A szabályzat módosítására a Munkáltató bármikor jogosult; a módosításról a munkavállalókat írásban, a hatálybalépést megelőzően tájékoztatni kell.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szabályzat egy példányát a Munkáltató a belső intranetes felületen teszi hozzáférhetővé, és minden jogosult munkavállaló a cafetéria-választás megtételekor aláírásával igazolja, hogy a szabályzat tartalmát megismerte, és magára nézve kötelezőnek ismeri el.</w:t>
      </w:r>
    </w:p>
    <w:p>
      <w:pPr>
        <w:spacing w:before="200"/>
      </w:pPr>
    </w:p>
    <w:p>
      <w:pPr>
        <w:keepNext/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Nyilatkozat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Alulírott kijelentem, hogy a Cafetéria Szabályzatot megismertem, tartalmát megértettem, és annak rendelkezéseit magamra nézve kötelezőnek fogadom el.</w:t>
      </w:r>
    </w:p>
    <w:p>
      <w:pPr>
        <w:keepNext/>
        <w:spacing w:before="200"/>
      </w:pPr>
    </w:p>
    <w:p>
      <w:pPr>
        <w:keepNext/>
      </w:pPr>
      <w:r>
        <w:t xml:space="preserve">Munkavállaló neve: _______________________________</w:t>
      </w:r>
    </w:p>
    <w:p>
      <w:pPr>
        <w:keepNext/>
      </w:pPr>
      <w:r>
        <w:t xml:space="preserve">Dátum: _______________________________</w:t>
      </w:r>
    </w:p>
    <w:p>
      <w:r>
        <w:t xml:space="preserve">Aláírás: 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260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2026-09-07T06:03:07.029Z</dcterms:created>
  <dcterms:modified xsi:type="dcterms:W3CDTF">2026-09-07T06:03:07.030Z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