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AURORA DYNAMICS KFT.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SZERZŐDÉSKÖTÉSI SZABÁLYZAT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Külső partnerekkel kötött szerződésekre vonatkozó feltételek, formai követelmények és átvilágítási eljárás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Hatályos: 2027. január 1-jétől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Verziószám: 1.0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Kiadja: Jogi Osztály</w:t>
      </w:r>
    </w:p>
    <w:p>
      <w:r>
        <w:br w:type="page"/>
      </w:r>
    </w:p>
    <w:p>
      <w:pPr>
        <w:pStyle w:val="Heading1"/>
        <w:spacing w:after="140" w:before="260"/>
      </w:pPr>
      <w:r>
        <w:t xml:space="preserve">1. A szabályzat célja és hatálya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célja, hogy egységes rendet biztosítson az Aurora Dynamics Kft. (a továbbiakban: Munkáltató vagy Társaság) külső partnereivel – így különösen szállítóival, vevőivel, alvállalkozóival és tanácsadóival – kötött szerződések előkészítésére, átvilágítására, formai és nyelvi követelményeire, valamint jóváhagyására vonatkozóan.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hatálya kiterjed minden olyan szerződésre, amelyet a Társaság külső, tőle jogilag független partnerrel köt, függetlenül a szerződés tárgyától és értékétől. A szabályzat nem terjed ki a munkaviszony létesítésére irányuló szerződésekre, valamint a Társaság belső szervezeti egységei közötti megállapodásokra.</w:t>
      </w:r>
    </w:p>
    <w:p>
      <w:pPr>
        <w:pStyle w:val="Heading1"/>
        <w:spacing w:after="140" w:before="260"/>
      </w:pPr>
      <w:r>
        <w:t xml:space="preserve">2. Fogalommeghatározások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Külső partner: </w:t>
      </w:r>
      <w:r>
        <w:rPr>
          <w:rFonts w:ascii="Calibri" w:cs="Calibri" w:eastAsia="Calibri" w:hAnsi="Calibri"/>
          <w:sz w:val="22"/>
          <w:szCs w:val="22"/>
        </w:rPr>
        <w:t xml:space="preserve">a Társaságtól jogilag független természetes vagy jogi személy, amellyel a Társaság szerződéses jogviszonyt létesít.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Szerződésgazda: </w:t>
      </w:r>
      <w:r>
        <w:rPr>
          <w:rFonts w:ascii="Calibri" w:cs="Calibri" w:eastAsia="Calibri" w:hAnsi="Calibri"/>
          <w:sz w:val="22"/>
          <w:szCs w:val="22"/>
        </w:rPr>
        <w:t xml:space="preserve">az a munkavállaló, aki a szerződés előkészítéséért, az átvilágítási folyamat kezdeményezéséért és a teljesítés nyomon követéséért felel.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Átvilágítás (due diligence): </w:t>
      </w:r>
      <w:r>
        <w:rPr>
          <w:rFonts w:ascii="Calibri" w:cs="Calibri" w:eastAsia="Calibri" w:hAnsi="Calibri"/>
          <w:sz w:val="22"/>
          <w:szCs w:val="22"/>
        </w:rPr>
        <w:t xml:space="preserve">a partner jogi, pénzügyi, adatvédelmi és megfelelőségi kockázatainak feltárására irányuló eljárás.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Kétnyelvű szerződés: </w:t>
      </w:r>
      <w:r>
        <w:rPr>
          <w:rFonts w:ascii="Calibri" w:cs="Calibri" w:eastAsia="Calibri" w:hAnsi="Calibri"/>
          <w:sz w:val="22"/>
          <w:szCs w:val="22"/>
        </w:rPr>
        <w:t xml:space="preserve">olyan szerződés, amely magyar és angol nyelvű szövegváltozatot egyaránt tartalmaz.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Elsőbbségi klauzula: </w:t>
      </w:r>
      <w:r>
        <w:rPr>
          <w:rFonts w:ascii="Calibri" w:cs="Calibri" w:eastAsia="Calibri" w:hAnsi="Calibri"/>
          <w:sz w:val="22"/>
          <w:szCs w:val="22"/>
        </w:rPr>
        <w:t xml:space="preserve">a szerződésnek az a rendelkezése, amely a nyelvi változatok közötti eltérés esetén meghatározza, melyik szövegváltozat az irányadó.</w:t>
      </w:r>
    </w:p>
    <w:p>
      <w:pPr>
        <w:pStyle w:val="Heading1"/>
        <w:spacing w:after="140" w:before="260"/>
      </w:pPr>
      <w:r>
        <w:t xml:space="preserve">3. A szerződéskötés általános elvei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Külső partnerrel szerződés kizárólag írásban, a jelen szabályzatban meghatározott formai és tartalmi követelményeknek megfelelően, a Jogi Osztály által jóváhagyott sablon alapján köthető. Szóbeli megállapodás, illetve e-mailben rögzített, alá nem írt feltétel a Társaságot nem kötelezi.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Szerződést kizárólag azt követően lehet aláírásra előkészíteni, hogy a partner átvilágítása a 4. pont szerint sikeresen lezárult, és a Szerződésgazda az átvilágítási jelentést a Jogi Osztálynak benyújtotta. Az átvilágítás lezárása előtt megkötött szerződés a jelen szabályzat megsértésének minősül.</w:t>
      </w:r>
    </w:p>
    <w:p>
      <w:pPr>
        <w:pStyle w:val="Heading1"/>
        <w:spacing w:after="140" w:before="260"/>
      </w:pPr>
      <w:r>
        <w:t xml:space="preserve">4. Partnerátvilágítás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Új külső partnerrel történő szerződéskötést megelőzően, valamint a szerződés időtartama alatt rendszeresen az alábbi átvilágítási lépéseket kell elvégezni: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50"/>
        <w:gridCol w:w="3300"/>
      </w:tblGrid>
      <w:tr>
        <w:trPr>
          <w:tblHeader/>
        </w:trPr>
        <w:tc>
          <w:tcPr>
            <w:tcW w:type="dxa" w:w="19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Lépés</w:t>
            </w:r>
          </w:p>
        </w:tc>
        <w:tc>
          <w:tcPr>
            <w:tcW w:type="dxa" w:w="41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Tartalom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Felelős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Azonosítás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Cégadatok, tulajdonosi struktúra és a végső tényleges tulajdonos (UBO) ellenőrzése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Szerződésgazda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Jogi átvilágítás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Cégkivonat, aláírási jogosultság és folyamatban lévő peres eljárások ellenőrzése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Jogi Osztály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Pénzügyi átvilágítás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Fizetőképesség, referenciák és hitelminősítés ellenőrzése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Pénzügyi Osztály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Compliance-ellenőrzés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Nemzetközi szankciós listákon és a PEP-listán való szereplés vizsgálata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 Felelős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Adatvédelmi átvilágítás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Amennyiben a partner személyes adatot kezel, adatfeldolgozói szerződés szükségességének vizsgálata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Adatvédelmi Tisztviselő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Biztonsági átvilágítás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Informatikai rendszerhez való hozzáférés esetén az informatikai biztonsági követelmények ellenőrzése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Informatikai Osztály</w:t>
            </w:r>
          </w:p>
        </w:tc>
      </w:tr>
    </w:tbl>
    <w:p>
      <w:pPr>
        <w:spacing w:after="60" w:before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átvilágítás eredményét a Szerződésgazda írásos jelentésben rögzíti, amelyet a szerződés aláírása előtt a Jogi Osztálynak jóváhagyásra megküld. Magas kockázati besorolású partner esetén a szerződés kizárólag a Compliance Felelős és a Jogi Osztály együttes jóváhagyásával köthető meg.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átvilágítást a szerződés időtartama alatt legalább kétévente meg kell ismételni, illetve haladéktalanul el kell végezni, ha a partner tulajdonosi szerkezetében, vezetésében vagy megfelelőségi státuszában lényeges változás következik be.</w:t>
      </w:r>
    </w:p>
    <w:p>
      <w:pPr>
        <w:pStyle w:val="Heading1"/>
        <w:spacing w:after="140" w:before="260"/>
      </w:pPr>
      <w:r>
        <w:t xml:space="preserve">5. Kockázati besorolás és fokozott átvilágítás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átvilágítás lezárását követően a Compliance Felelős a partnert az alábbi kockázati kategóriák egyikébe sorolja be, és a besorolás alapján határozza meg a szükséges további intézkedéseket: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50"/>
      </w:tblGrid>
      <w:tr>
        <w:trPr>
          <w:tblHeader/>
        </w:trPr>
        <w:tc>
          <w:tcPr>
            <w:tcW w:type="dxa" w:w="19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Kockázati szint</w:t>
            </w:r>
          </w:p>
        </w:tc>
        <w:tc>
          <w:tcPr>
            <w:tcW w:type="dxa" w:w="41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Jellemző körülmény</w:t>
            </w:r>
          </w:p>
        </w:tc>
        <w:tc>
          <w:tcPr>
            <w:tcW w:type="dxa" w:w="33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Szükséges intézkedés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Alacsony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Belföldi, átlátható tulajdonosi szerkezetű, hosszabb ideje ismert partner</w:t>
            </w:r>
          </w:p>
        </w:tc>
        <w:tc>
          <w:tcPr>
            <w:tcW w:type="dxa" w:w="3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Alapszintű átvilágítás, kétévenkénti felülvizsgálat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Közepes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Új, korábban nem ismert, vagy összetettebb tulajdonosi szerkezetű partner</w:t>
            </w:r>
          </w:p>
        </w:tc>
        <w:tc>
          <w:tcPr>
            <w:tcW w:type="dxa" w:w="3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Bővített jogi és pénzügyi átvilágítás, éves felülvizsgálat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Magas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Külföldi, magas kockázatú joghatóságban bejegyzett, vagy szankciós/PEP-találatot mutató partner</w:t>
            </w:r>
          </w:p>
        </w:tc>
        <w:tc>
          <w:tcPr>
            <w:tcW w:type="dxa" w:w="3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Fokozott átvilágítás, Compliance Felelős és Jogi Osztály együttes jóváhagyása, féléves felülvizsgálat</w:t>
            </w:r>
          </w:p>
        </w:tc>
      </w:tr>
    </w:tbl>
    <w:p>
      <w:pPr>
        <w:spacing w:after="60" w:before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Magas kockázati besorolás esetén a Szerződésgazda köteles a szerződés teljesítése alatt is figyelemmel kísérni a partner megfelelőségi státuszát, és bármely lényeges változást haladéktalanul jelenteni a Compliance Felelősnek.</w:t>
      </w:r>
    </w:p>
    <w:p>
      <w:pPr>
        <w:pStyle w:val="Heading1"/>
        <w:spacing w:after="140" w:before="260"/>
      </w:pPr>
      <w:r>
        <w:t xml:space="preserve">6. Szerződéses formátum és kötelező tartalmi elemek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Minden külső partnerrel kötött szerződésnek – annak típusától függetlenül – tartalmaznia kell legalább az alábbi elemeket: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felek pontos azonosító adatai (cégnév, székhely, cégjegyzékszám, adószám, képviselő neve);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szerződés tárgyának egyértelmű meghatározása;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teljesítés helye és határideje;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az ellenérték és a fizetési feltételek;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titoktartási és adatvédelmi rendelkezések;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szellemi tulajdonjogok rendezése;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szerződésszegés jogkövetkezményei és a kártérítési felelősség korlátozása, amennyiben ilyen kikötésre sor kerül;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szerződés időtartama és megszüntetésének feltételei;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az irányadó jog és a vitarendezés módja.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Szerződést kizárólag a Jogi Osztály által kezelt, mindenkor hatályos sablonkönyvtárban szereplő minta alapján lehet elkészíteni. A sablontól való eltéréshez a Jogi Osztály előzetes, írásbeli jóváhagyása szükséges. Elektronikus aláírás esetén kizárólag a Társaság által jóváhagyott hitelesítési szolgáltató vehető igénybe.</w:t>
      </w:r>
    </w:p>
    <w:p>
      <w:pPr>
        <w:pStyle w:val="Heading1"/>
        <w:spacing w:after="140" w:before="260"/>
      </w:pPr>
      <w:r>
        <w:t xml:space="preserve">7. Gyakori szerződéstípusok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Jogi Osztály sablonkönyvtára az alábbi, leggyakrabban használt szerződéstípusokra tartalmaz mintát; a Szerződésgazda a szerződés tárgyának megfelelő sablont köteles alkalmazni.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Szerződéstípus</w:t>
            </w:r>
          </w:p>
        </w:tc>
        <w:tc>
          <w:tcPr>
            <w:tcW w:type="dxa" w:w="67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Jellemző alkalmazási kör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Titoktartási megállapodás (NDA)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Tárgyalások, közös projektek megkezdése előtt, bizalmas információ megosztásakor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Szállítási szerződés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Áru vagy termék rendszeres vagy eseti beszerzése külső szállítótól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Szolgáltatási szerződés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Külső partner által nyújtott, folyamatos vagy eseti szolgáltatás igénybevétele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Vállalkozási szerződés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Meghatározott eredmény (mű) létrehozására irányuló megbízás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Keretszerződés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Hosszabb távú együttműködés általános feltételeinek rögzítése, egyedi megrendelésekkel kiegészítve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8. A szerződések nyelve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Társaság belföldi, Magyarországon bejegyzett partnerrel kötött szerződéseit alapesetben magyar nyelven készíti el. Külföldi partnerrel, illetve nemzetközi vonatkozású ügylet esetén a szerződés angol nyelven vagy magyar–angol kétnyelvű formában készül.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Kétnyelvű szerződés esetén a szerződésnek kifejezetten rögzítenie kell, hogy a két nyelvi változat közötti eltérés esetén melyik szövegváltozat az irányadó (elsőbbségi klauzula). Ellenkező írásbeli megállapodás hiányában a magyar jog hatálya alá tartozó szerződéseknél a magyar nyelvű szövegváltozat, nemzetközi vagy választottbírósági kikötést tartalmazó, illetve külföldi jog hatálya alá tartozó szerződéseknél az angol nyelvű szövegváltozat tekintendő irányadónak.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szerződés angol nyelvű változatát a Jogi Osztály által jóváhagyott szakfordító készíti el, vagy azt a Jogi Osztály ellenőrzi. Gépi fordítás önállóan, emberi szakmai ellenőrzés nélkül nem használható fel véglegesített szerződéses szövegként.</w:t>
      </w:r>
    </w:p>
    <w:p>
      <w:pPr>
        <w:pStyle w:val="Heading1"/>
        <w:spacing w:after="140" w:before="260"/>
      </w:pPr>
      <w:r>
        <w:t xml:space="preserve">9. Vitarendezés és irányadó jog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belföldi partnerrel kötött, magyar jog hatálya alá tartozó szerződések esetén a Társaság elsődlegesen a magyar rendes bíróságok kizárólagos illetékességének kikötését részesíti előnyben. Nemzetközi szerződés esetén a Jogi Osztály mérlegeli választottbírósági kikötés alkalmazását, figyelemmel a partner székhelyére, az érintett iparágban szokásos gyakorlatra, valamint a várható végrehajthatóságra.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Választottbírósági kikötés kizárólag a Jogi Osztály előzetes jóváhagyásával kerülhet a szerződésbe; a kikötésnek tartalmaznia kell a választottbíróság székhelyét, az eljárás nyelvét és az alkalmazandó eljárási szabályzatot. A joghatósági és jogválasztási kikötéseket minden esetben össze kell hangolni a szerződés nyelvi változataival, elkerülve az egyes nyelvi verziók közötti tartalmi ellentmondást.</w:t>
      </w:r>
    </w:p>
    <w:p>
      <w:pPr>
        <w:pStyle w:val="Heading1"/>
        <w:spacing w:after="140" w:before="260"/>
      </w:pPr>
      <w:r>
        <w:t xml:space="preserve">10. Jóváhagyási és aláírási rend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szerződés jóváhagyására és aláírására jogosult személyt a szerződés becsült értéke határozza meg, az alábbiak szerint: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50"/>
      </w:tblGrid>
      <w:tr>
        <w:trPr>
          <w:tblHeader/>
        </w:trPr>
        <w:tc>
          <w:tcPr>
            <w:tcW w:type="dxa" w:w="31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Szerződés kategóriája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Szükséges jóváhagyás</w:t>
            </w:r>
          </w:p>
        </w:tc>
        <w:tc>
          <w:tcPr>
            <w:tcW w:type="dxa" w:w="30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Aláírásra jogosult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Kisértékű szerződés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Szerződésgazda közvetlen felettesének jóváhagyása</w:t>
            </w:r>
          </w:p>
        </w:tc>
        <w:tc>
          <w:tcPr>
            <w:tcW w:type="dxa" w:w="30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Osztályvezető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Közepes értékű szerződés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Pénzügyi Osztály és Jogi Osztály jóváhagyása</w:t>
            </w:r>
          </w:p>
        </w:tc>
        <w:tc>
          <w:tcPr>
            <w:tcW w:type="dxa" w:w="30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Ügyvezetés tagja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Kiemelt (stratégiai) szerződés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Ügyvezetés és Jogi Osztály együttes jóváhagyása</w:t>
            </w:r>
          </w:p>
        </w:tc>
        <w:tc>
          <w:tcPr>
            <w:tcW w:type="dxa" w:w="30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Cégjegyzésre jogosult vezető</w:t>
            </w:r>
          </w:p>
        </w:tc>
      </w:tr>
    </w:tbl>
    <w:p>
      <w:pPr>
        <w:spacing w:after="60" w:before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kategóriákhoz tartozó pontos összeghatárokat a Társaság mindenkor hatályos aláírási szabályzata tartalmazza. Szerződést a jelen pontban meghatározott jóváhagyás nélkül aláírni nem lehet, ez alól kivételt csak a jogszabályban előírt, halasztást nem tűrő esetek képeznek, amelyeket utólag, haladéktalanul jóvá kell hagyatni.</w:t>
      </w:r>
    </w:p>
    <w:p>
      <w:pPr>
        <w:pStyle w:val="Heading1"/>
        <w:spacing w:after="140" w:before="260"/>
      </w:pPr>
      <w:r>
        <w:t xml:space="preserve">11. Szerződésmódosítás, hosszabbítás és megszűnés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Szerződés módosítására kizárólag írásban, a szerződő felek által aláírt módosító okirat formájában kerülhet sor; szóbeli vagy ráutaló magatartással történő módosítás a Társaságot nem köti. Határozott idejű szerződés meghosszabbítását a Szerződésgazda a lejárat előtt legalább hatvan nappal köteles kezdeményezni, egyúttal megvizsgálva az újbóli átvilágítás szükségességét.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szerződés rendes vagy rendkívüli felmondásáról a Szerződésgazda a Jogi Osztály bevonásával dönt, figyelemmel a szerződésben rögzített felmondási feltételekre és határidőkre.</w:t>
      </w:r>
    </w:p>
    <w:p>
      <w:pPr>
        <w:pStyle w:val="Heading1"/>
        <w:spacing w:after="140" w:before="260"/>
      </w:pPr>
      <w:r>
        <w:t xml:space="preserve">12. Nyilvántartás és archiválás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megkötött szerződéseket a Szerződésgazda köteles a Társaság központi szerződés-nyilvántartó rendszerében rögzíteni, feltüntetve legalább a partner nevét, a szerződés tárgyát, értékét, időtartamát és a szerződésgazda személyét. A szerződések eredeti, aláírt példányát a Jogi Osztály a jogszabályban előírt megőrzési időn belül archiválja.</w:t>
      </w:r>
    </w:p>
    <w:p>
      <w:pPr>
        <w:pStyle w:val="Heading1"/>
        <w:spacing w:after="140" w:before="260"/>
      </w:pPr>
      <w:r>
        <w:t xml:space="preserve">13. Kockázatkezelés és felelősség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Szerződésgazda felelős azért, hogy a szerződés megkötése előtt a jelen szabályzatban foglalt átvilágítási és jóváhagyási lépések maradéktalanul megtörténjenek. A szabályzat megkerülésével kötött szerződésből eredő kárért a Szerződésgazda, valamint a jóváhagyást elmulasztó vezető munkajogi felelősséggel tartozik.</w:t>
      </w:r>
    </w:p>
    <w:p>
      <w:pPr>
        <w:pStyle w:val="Heading1"/>
        <w:spacing w:after="140" w:before="260"/>
      </w:pPr>
      <w:r>
        <w:t xml:space="preserve">14. Ellenőrzés és megfelelőség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Compliance Felelős jogosult a megkötött szerződések és az átvilágítási dokumentáció mintavételes ellenőrzésére, a jelen szabályzat betartásának vizsgálata céljából. A feltárt hiányosságról a Compliance Felelős a Jogi Osztályt és az érintett Szerződésgazda felettesét írásban tájékoztatja.</w:t>
      </w:r>
    </w:p>
    <w:p>
      <w:pPr>
        <w:pStyle w:val="Heading1"/>
        <w:spacing w:after="140" w:before="260"/>
      </w:pPr>
      <w:r>
        <w:t xml:space="preserve">15. A szabályzat megsértésének következményei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jelen szabályzatban foglaltak megsértése – így különösen az átvilágítás elmulasztása, a jóváhagyási rend megkerülése vagy nem engedélyezett sablon használata – munkajogi felelősségre vonást vonhat maga után. Súlyos vagy ismételt szabályszegés esetén a Társaság a munkaviszony megszüntetését is kezdeményezheti.</w:t>
      </w:r>
    </w:p>
    <w:p>
      <w:pPr>
        <w:pStyle w:val="Heading1"/>
        <w:spacing w:after="140" w:before="260"/>
      </w:pPr>
      <w:r>
        <w:t xml:space="preserve">16. Összeférhetetlenség és etikai elvárások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Szerződésgazda és az átvilágításban részt vevő bármely munkavállaló köteles haladéktalanul jelezni felettesének és a Compliance Felelősnek, ha a partnerrel vagy annak képviselőjével személyes, családi vagy gazdasági érdekeltségből eredő összeférhetetlenség állhat fenn. Összeférhetetlenség fennállása esetén az érintett munkavállaló a szerződéskötési folyamat egyetlen szakaszában sem vehet részt.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szerződéskötésben részt vevő munkavállaló a partnertől a szokásos üzleti reprezentáció mértékét – például munkaebéd vagy jelképes értékű ajándék – meghaladó juttatást, ajándékot vagy meghívást nem fogadhat el. A szokásos mértéket meghaladó felajánlásról a munkavállaló köteles a Compliance Felelőst írásban tájékoztatni.</w:t>
      </w:r>
    </w:p>
    <w:p>
      <w:pPr>
        <w:pStyle w:val="Heading1"/>
        <w:spacing w:after="140" w:before="260"/>
      </w:pPr>
      <w:r>
        <w:t xml:space="preserve">17. Mellékletek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elválaszthatatlan részét képezik az alábbi mellékletek, amelyeket a Jogi Osztály tart karban és a belső intranetes felületen tesz elérhetővé: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1. számú melléklet: Szerződéssablon-jegyzék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2. számú melléklet: Partnerátvilágítási kérdőív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3. számú melléklet: Aláírási címpéldány- és jogosultsági minta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4. számú melléklet: Kétnyelvű szerződések elsőbbségi klauzulájának mintaszövege</w:t>
      </w:r>
    </w:p>
    <w:p>
      <w:pPr>
        <w:pStyle w:val="Heading1"/>
        <w:spacing w:after="140" w:before="260"/>
      </w:pPr>
      <w:r>
        <w:t xml:space="preserve">18. Kapcsolattartási pontok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alábbi táblázat áttekintést nyújt arról, hogy a szerződéskötéssel kapcsolatos egyes ügyekben a munkavállaló kihez fordulhat.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Ügytípus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Illetékes szervezeti egység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Szerződéssablon igénylése, sablontól való eltérés engedélyezése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Jogi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Partnerátvilágítás kezdeményezése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Szerződésgazda / Compliance Felelős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Kétnyelvű szerződés fordítása, ellenőrzése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Jogi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Pénzügyi átvilágítás, fizetési feltételek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Pénzügyi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Adatvédelmi kérdés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Adatvédelmi Tisztviselő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19. Záró rendelkezések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szabályzatot a Társaság vezetése hagyja jóvá, és az a kihirdetés napjától hatályos. A szabályzat módosítására a Társaság bármikor jogosult; a módosításról az érintett munkavállalókat írásban, a hatálybalépést megelőzően tájékoztatni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egy példányát a Társaság a belső intranetes felületen teszi hozzáférhetővé, és minden érintett munkavállaló a szerződéskötési feladatkör ellátásának megkezdésekor aláírásával igazolja, hogy a szabályzat tartalmát megismerte, és magára nézve kötelezőnek ismeri el.</w:t>
      </w:r>
    </w:p>
    <w:p>
      <w:pPr>
        <w:spacing w:before="200"/>
      </w:pP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Nyilatkozat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Alulírott kijelentem, hogy a Szerződéskötési Szabályzatot megismertem, tartalmát megértettem, és annak rendelkezéseit magamra nézve kötelezőnek fogadom el.</w:t>
      </w:r>
    </w:p>
    <w:p>
      <w:pPr>
        <w:keepNext/>
        <w:spacing w:before="200"/>
      </w:pPr>
    </w:p>
    <w:p>
      <w:pPr>
        <w:keepNext/>
      </w:pPr>
      <w:r>
        <w:t xml:space="preserve">Munkavállaló neve: _______________________________</w:t>
      </w:r>
    </w:p>
    <w:p>
      <w:pPr>
        <w:keepNext/>
      </w:pPr>
      <w:r>
        <w:t xml:space="preserve">Dátum: _______________________________</w:t>
      </w:r>
    </w:p>
    <w:p>
      <w:r>
        <w:t xml:space="preserve">Aláírás: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2026-09-07T06:03:09.919Z</dcterms:created>
  <dcterms:modified xsi:type="dcterms:W3CDTF">2026-09-07T06:03:09.919Z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