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3BB" w:rsidRDefault="00A853BB">
      <w:pPr>
        <w:rPr>
          <w:b/>
          <w:u w:val="single"/>
        </w:rPr>
      </w:pPr>
      <w:r w:rsidRPr="00A853BB">
        <w:rPr>
          <w:b/>
          <w:u w:val="single"/>
        </w:rPr>
        <w:t>Multiple Price Schedules</w:t>
      </w:r>
    </w:p>
    <w:p w:rsidR="00A853BB" w:rsidRPr="00A853BB" w:rsidRDefault="00A853BB">
      <w:pPr>
        <w:rPr>
          <w:b/>
          <w:u w:val="single"/>
        </w:rPr>
      </w:pPr>
    </w:p>
    <w:p w:rsidR="00A853BB" w:rsidRPr="00A853BB" w:rsidRDefault="00A853BB" w:rsidP="00A853BB">
      <w:pPr>
        <w:rPr>
          <w:b/>
        </w:rPr>
      </w:pPr>
      <w:r>
        <w:rPr>
          <w:b/>
        </w:rPr>
        <w:t>The real-world situation</w:t>
      </w:r>
    </w:p>
    <w:p w:rsidR="00A853BB" w:rsidRDefault="00A853BB" w:rsidP="00A853BB">
      <w:r>
        <w:tab/>
        <w:t>There are two kinds of users: consumers and clinicians</w:t>
      </w:r>
    </w:p>
    <w:p w:rsidR="00957A26" w:rsidRDefault="00A853BB">
      <w:r>
        <w:tab/>
        <w:t xml:space="preserve">consumers get one on-line price: price_consumer_online, and may not be able to order some products that are 'clinician only'.  The 'consumer-online price' is a new one, currently the same as the Netsuite price 'clinician online'. </w:t>
      </w:r>
      <w:r w:rsidR="00957A26">
        <w:t xml:space="preserve"> list, </w:t>
      </w:r>
      <w:r w:rsidR="008B4739">
        <w:t xml:space="preserve">tru-blue, </w:t>
      </w:r>
      <w:r w:rsidR="00957A26">
        <w:t>deviatio-floor (unpublished; will not be no the web site) corporate-2</w:t>
      </w:r>
      <w:r w:rsidR="008B4739">
        <w:t>, corporate</w:t>
      </w:r>
      <w:r w:rsidR="00957A26">
        <w:t xml:space="preserve">-3.  We will have dealer-1, dealer-2, dealer-3. </w:t>
      </w:r>
    </w:p>
    <w:p w:rsidR="00A853BB" w:rsidRDefault="00957A26">
      <w:r>
        <w:tab/>
      </w:r>
      <w:r>
        <w:tab/>
        <w:t xml:space="preserve">list=consumer/professional list.  </w:t>
      </w:r>
    </w:p>
    <w:p w:rsidR="00A853BB" w:rsidRDefault="00A853BB">
      <w:r>
        <w:tab/>
        <w:t>clinicians come in two varieties</w:t>
      </w:r>
    </w:p>
    <w:p w:rsidR="00A853BB" w:rsidRDefault="00A853BB">
      <w:r>
        <w:tab/>
        <w:t>— those that are not affiliated with the clinic with whom Tru-Medical has an contract; they see 'price-clinic_online'</w:t>
      </w:r>
      <w:r w:rsidR="00957A26">
        <w:t xml:space="preserve"> (list price) </w:t>
      </w:r>
    </w:p>
    <w:p w:rsidR="00A853BB" w:rsidRDefault="00A853BB">
      <w:r>
        <w:tab/>
        <w:t xml:space="preserve">— those that are affiliated with a clinic with whom TruMedical has a contract. They see whatever price schedule their clinic has negotiated with TruMedical. </w:t>
      </w:r>
      <w:r w:rsidR="00957A26">
        <w:t xml:space="preserve"> after they sign in they tru-blue, corporate-2 or corporate-3</w:t>
      </w:r>
    </w:p>
    <w:p w:rsidR="00A853BB" w:rsidRDefault="00A853BB">
      <w:r>
        <w:tab/>
        <w:t xml:space="preserve">There are some cases in which a particular clinic has negotiated additional discounts for some specific products from the base price schedule they have been assigned. </w:t>
      </w:r>
    </w:p>
    <w:p w:rsidR="00A853BB" w:rsidRDefault="00A853BB">
      <w:r>
        <w:tab/>
        <w:t xml:space="preserve">We need to see that once, a clinicial has registered ( so we know what clinic he is with), and logged in, (i) that he sees prices for all products that clinicians can order on line, (ii) that he sees the correct prices, and (iii) that when he puts an item in the cart, it shows up in the cart with that price . (ii) and (iii) rather than having him see one set of prices on the web and in his shopping cart, and knowing that at checkout these will be reduced to the prices in the schedule negotatied by his clinic with Tru-Medical. </w:t>
      </w:r>
    </w:p>
    <w:p w:rsidR="00A853BB" w:rsidRPr="00A853BB" w:rsidRDefault="00A853BB">
      <w:pPr>
        <w:rPr>
          <w:b/>
        </w:rPr>
      </w:pPr>
      <w:r w:rsidRPr="00A853BB">
        <w:rPr>
          <w:b/>
        </w:rPr>
        <w:t xml:space="preserve">Options for modeling this in the software </w:t>
      </w:r>
    </w:p>
    <w:p w:rsidR="00A853BB" w:rsidRDefault="00A853BB">
      <w:r>
        <w:tab/>
      </w:r>
      <w:r w:rsidR="00C717BD">
        <w:t>option #1. Re</w:t>
      </w:r>
      <w:r>
        <w:t xml:space="preserve">gistration/price levels happen on the Netsuite side:  </w:t>
      </w:r>
    </w:p>
    <w:p w:rsidR="00C97BCA" w:rsidRDefault="00C97BCA">
      <w:r>
        <w:tab/>
        <w:t xml:space="preserve">    to wit: T</w:t>
      </w:r>
      <w:r w:rsidR="00A853BB">
        <w:t xml:space="preserve">he register and login links on the pages of the site go to the standard Netsuite routines for adding something to a cart, viewing the cart, and checking out.  Custom Netsuite records are created to support 2 different types of site visitor: consumers and clinicians.  And clinicians are linked to a new custom record type added to Netsuite: CLINIC.  The registration screen is amended to ask for his clinic.  When he logs in,  netsite calls back to Rails passing it an index to the price strucdture to use with this client.  </w:t>
      </w:r>
      <w:r>
        <w:t xml:space="preserve">Means (i) setting up a listener on the Rails side, and (ii) modifying the Netsuite login function to send an HTTP msg to the Rails listener that includes the user name and the price schedule identifier.   The Rails listener updates the Rails database to note the price schedule associated with the current user.  Any Rails-side code that lists products (ie., views/products/show.html.erb, ... ) looks up the price schedule applicable to their current on-line user, and applies the prices listed therein.  </w:t>
      </w:r>
    </w:p>
    <w:p w:rsidR="00C97BCA" w:rsidRDefault="00C97BCA">
      <w:r>
        <w:tab/>
      </w:r>
      <w:r w:rsidR="00C717BD">
        <w:t>option #2. R</w:t>
      </w:r>
      <w:r>
        <w:t>egistration/login/price-levels happens on the Rails site</w:t>
      </w:r>
    </w:p>
    <w:p w:rsidR="00C97BCA" w:rsidRDefault="00C97BCA">
      <w:r>
        <w:tab/>
        <w:t xml:space="preserve">    to wit: </w:t>
      </w:r>
    </w:p>
    <w:p w:rsidR="00C97BCA" w:rsidRDefault="00C97BCA">
      <w:r>
        <w:tab/>
      </w:r>
      <w:r>
        <w:tab/>
        <w:t xml:space="preserve">1. modify data model </w:t>
      </w:r>
    </w:p>
    <w:p w:rsidR="00C97BCA" w:rsidRDefault="00C97BCA">
      <w:r>
        <w:tab/>
      </w:r>
      <w:r>
        <w:tab/>
      </w:r>
      <w:r>
        <w:tab/>
        <w:t>clinician subtype of user</w:t>
      </w:r>
    </w:p>
    <w:p w:rsidR="00C97BCA" w:rsidRDefault="00C97BCA">
      <w:r>
        <w:tab/>
      </w:r>
      <w:r>
        <w:tab/>
      </w:r>
      <w:r>
        <w:tab/>
        <w:t>consumer subtype of user</w:t>
      </w:r>
    </w:p>
    <w:p w:rsidR="00C97BCA" w:rsidRDefault="00C97BCA">
      <w:r>
        <w:tab/>
      </w:r>
      <w:r>
        <w:tab/>
      </w:r>
      <w:r>
        <w:tab/>
        <w:t xml:space="preserve">add clinic, include price schedule granted them </w:t>
      </w:r>
    </w:p>
    <w:p w:rsidR="00C97BCA" w:rsidRDefault="00C97BCA">
      <w:r>
        <w:tab/>
      </w:r>
      <w:r>
        <w:tab/>
      </w:r>
      <w:r>
        <w:tab/>
        <w:t>set up n:1 relationship between clinicians and their clinic; modify model/ ... .rb files</w:t>
      </w:r>
    </w:p>
    <w:p w:rsidR="00C97BCA" w:rsidRDefault="00C97BCA">
      <w:r>
        <w:tab/>
      </w:r>
      <w:r>
        <w:tab/>
        <w:t xml:space="preserve">2. load the data for existing users, clinics and the price schedule they have </w:t>
      </w:r>
      <w:r w:rsidR="00C717BD">
        <w:t>negotiated</w:t>
      </w:r>
      <w:r>
        <w:t xml:space="preserve">.  </w:t>
      </w:r>
    </w:p>
    <w:p w:rsidR="00C97BCA" w:rsidRDefault="00C97BCA">
      <w:r>
        <w:tab/>
      </w:r>
      <w:r>
        <w:tab/>
        <w:t xml:space="preserve">3. get some sample clinics and clinician names from Denver.  </w:t>
      </w:r>
    </w:p>
    <w:p w:rsidR="00C97BCA" w:rsidRDefault="00C97BCA">
      <w:r>
        <w:tab/>
      </w:r>
      <w:r>
        <w:tab/>
        <w:t xml:space="preserve">4. Insert them into the tm202 database for testing. </w:t>
      </w:r>
    </w:p>
    <w:p w:rsidR="00C97BCA" w:rsidRDefault="00C97BCA">
      <w:r>
        <w:tab/>
      </w:r>
      <w:r>
        <w:tab/>
        <w:t xml:space="preserve">5. take out Mavic-like orange blocks that control which of the images in the image carousel we are on now.   </w:t>
      </w:r>
    </w:p>
    <w:p w:rsidR="00C717BD" w:rsidRDefault="00C97BCA">
      <w:r>
        <w:tab/>
      </w:r>
      <w:r>
        <w:tab/>
        <w:t xml:space="preserve">6. </w:t>
      </w:r>
      <w:r w:rsidR="00C717BD">
        <w:t>insert Rails-side registration/login system</w:t>
      </w:r>
      <w:r w:rsidR="00E338C6">
        <w:t xml:space="preserve">;  </w:t>
      </w:r>
    </w:p>
    <w:p w:rsidR="00E338C6" w:rsidRDefault="00C717BD">
      <w:r>
        <w:tab/>
      </w:r>
      <w:r>
        <w:tab/>
        <w:t>7.  modify it to capture</w:t>
      </w:r>
      <w:r w:rsidR="005670F7">
        <w:t xml:space="preserve"> information on the clinic, and to link clinicians to their clinic. </w:t>
      </w:r>
    </w:p>
    <w:p w:rsidR="00E338C6" w:rsidRDefault="00E338C6">
      <w:r>
        <w:tab/>
      </w:r>
      <w:r>
        <w:tab/>
        <w:t xml:space="preserve">8. send register request to PK' custom Netsuite register routine:  args: name, email address, password, price-schedule (string) </w:t>
      </w:r>
    </w:p>
    <w:p w:rsidR="00C717BD" w:rsidRDefault="00E338C6">
      <w:r>
        <w:tab/>
      </w:r>
      <w:r>
        <w:tab/>
        <w:t xml:space="preserve">9.  make a login call: custom routine.  loading a hidden iframe within the page that calls the correct url;  page gets returned to the iframe, but iframe is invisible.  If you make an AJAX call to netruiste:  get a cross domain violation.  </w:t>
      </w:r>
    </w:p>
    <w:p w:rsidR="00C717BD" w:rsidRDefault="00C717BD">
      <w:r>
        <w:tab/>
      </w:r>
      <w:r>
        <w:tab/>
        <w:t xml:space="preserve">8.  modify  views/products/show to use this information to determined which price schedule to use.  </w:t>
      </w:r>
    </w:p>
    <w:p w:rsidR="00C717BD" w:rsidRDefault="00C717BD">
      <w:r>
        <w:tab/>
      </w:r>
      <w:r>
        <w:tab/>
        <w:t xml:space="preserve">9.  add these prices to the HTML message sent to Rails for add-to-cart. </w:t>
      </w:r>
      <w:r w:rsidR="005670F7">
        <w:t xml:space="preserve">[ PK says this is a standard Netsuite-supported option;  What is the additional argument that needs to be passed?  Modify the javascript in the site to pass it. </w:t>
      </w:r>
      <w:r w:rsidR="00E338C6">
        <w:t xml:space="preserve">  PK will modify the pass in the per-item price if neceeary.  May not be necessary if we log in the user.  </w:t>
      </w:r>
    </w:p>
    <w:p w:rsidR="0073395C" w:rsidRDefault="00C717BD">
      <w:r>
        <w:tab/>
      </w:r>
      <w:r>
        <w:tab/>
        <w:t xml:space="preserve">10. Make sure </w:t>
      </w:r>
      <w:r w:rsidR="005670F7">
        <w:t>the correct prices</w:t>
      </w:r>
      <w:r>
        <w:t xml:space="preserve"> show up in subsequent call to 'view the cart', and again in the Rails 'checkout' sequence.  </w:t>
      </w:r>
      <w:r w:rsidR="005670F7">
        <w:t xml:space="preserve">Both of these are still handled on Netsuite's secure server. </w:t>
      </w:r>
    </w:p>
    <w:p w:rsidR="0073395C" w:rsidRDefault="0073395C"/>
    <w:p w:rsidR="00C717BD" w:rsidRDefault="0073395C">
      <w:r>
        <w:tab/>
        <w:t xml:space="preserve">We are going to implement option#2. </w:t>
      </w:r>
    </w:p>
    <w:p w:rsidR="00C97BCA" w:rsidRDefault="00C717BD">
      <w:r>
        <w:tab/>
      </w:r>
      <w:r>
        <w:tab/>
        <w:t xml:space="preserve"> </w:t>
      </w:r>
    </w:p>
    <w:p w:rsidR="00C97BCA" w:rsidRDefault="00C97BCA"/>
    <w:p w:rsidR="00C97BCA" w:rsidRDefault="00C97BCA">
      <w:r>
        <w:tab/>
      </w:r>
      <w:r>
        <w:tab/>
      </w:r>
      <w:r>
        <w:tab/>
      </w:r>
    </w:p>
    <w:p w:rsidR="00C97BCA" w:rsidRDefault="00C97BCA">
      <w:r>
        <w:tab/>
      </w:r>
      <w:r>
        <w:tab/>
      </w:r>
    </w:p>
    <w:p w:rsidR="00957A26" w:rsidRDefault="008B4739">
      <w:r>
        <w:t xml:space="preserve">Sammons -&gt; Patterson Medical </w:t>
      </w:r>
    </w:p>
    <w:p w:rsidR="00957A26" w:rsidRDefault="00957A26">
      <w:r>
        <w:t xml:space="preserve">in clinic:  contact:  mr, mrs, ... what type of contacts;  which is how people use the CRM;  promo: through the CRM part.  </w:t>
      </w:r>
    </w:p>
    <w:p w:rsidR="00C97BCA" w:rsidRDefault="00957A26">
      <w:r>
        <w:t xml:space="preserve">William King </w:t>
      </w:r>
    </w:p>
    <w:p w:rsidR="00C97BCA" w:rsidRDefault="000F556A">
      <w:r>
        <w:t xml:space="preserve">custoemr 1736:  </w:t>
      </w:r>
    </w:p>
    <w:p w:rsidR="00742E4A" w:rsidRDefault="00742E4A">
      <w:r>
        <w:t xml:space="preserve">order will be processed once verificaton of 'dealer//  ... status.  We will probably google them,then call them:  BK tahks for new custoer registeraion,  just wanted to make sure, ... </w:t>
      </w:r>
    </w:p>
    <w:p w:rsidR="00742E4A" w:rsidRDefault="00742E4A">
      <w:r>
        <w:t xml:space="preserve">buying groups  an indiepent PT with 2 clinicials in office, pay dues to be part of PTPN  Physical Therory Provider's network:  they negotate:  are you part of any preferred provider groups: no:  OK </w:t>
      </w:r>
    </w:p>
    <w:p w:rsidR="00C97BCA" w:rsidRDefault="00742E4A">
      <w:r>
        <w:t xml:space="preserve">yes: PTPN: ... </w:t>
      </w:r>
    </w:p>
    <w:p w:rsidR="00A853BB" w:rsidRDefault="00C97BCA">
      <w:r>
        <w:tab/>
      </w:r>
      <w:r>
        <w:tab/>
      </w:r>
    </w:p>
    <w:sectPr w:rsidR="00A853BB" w:rsidSect="00A853B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853BB"/>
    <w:rsid w:val="000F556A"/>
    <w:rsid w:val="005670F7"/>
    <w:rsid w:val="00647D36"/>
    <w:rsid w:val="0073395C"/>
    <w:rsid w:val="00742E4A"/>
    <w:rsid w:val="008B4739"/>
    <w:rsid w:val="00957A26"/>
    <w:rsid w:val="00A853BB"/>
    <w:rsid w:val="00C717BD"/>
    <w:rsid w:val="00C97BCA"/>
    <w:rsid w:val="00E338C6"/>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630</Words>
  <Characters>3593</Characters>
  <Application>Microsoft Macintosh Word</Application>
  <DocSecurity>0</DocSecurity>
  <Lines>29</Lines>
  <Paragraphs>7</Paragraphs>
  <ScaleCrop>false</ScaleCrop>
  <Company>personal copy</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5</cp:revision>
  <dcterms:created xsi:type="dcterms:W3CDTF">2012-01-09T07:06:00Z</dcterms:created>
  <dcterms:modified xsi:type="dcterms:W3CDTF">2012-01-09T21:29:00Z</dcterms:modified>
</cp:coreProperties>
</file>