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368E3"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 xml:space="preserve">ctive in the </w:t>
      </w:r>
      <w:r w:rsidR="00984D3E">
        <w:rPr>
          <w:color w:val="000000" w:themeColor="text1"/>
        </w:rPr>
        <w:t>four</w:t>
      </w:r>
      <w:r>
        <w:rPr>
          <w:color w:val="000000" w:themeColor="text1"/>
        </w:rPr>
        <w:t xml:space="preserv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984D3E" w:rsidRDefault="00984D3E" w:rsidP="00513604">
      <w:pPr>
        <w:rPr>
          <w:color w:val="000000" w:themeColor="text1"/>
        </w:rPr>
      </w:pPr>
      <w:r>
        <w:rPr>
          <w:color w:val="000000" w:themeColor="text1"/>
        </w:rPr>
        <w:tab/>
      </w:r>
      <w:r>
        <w:rPr>
          <w:color w:val="000000" w:themeColor="text1"/>
        </w:rPr>
        <w:tab/>
      </w:r>
      <w:r>
        <w:rPr>
          <w:color w:val="000000" w:themeColor="text1"/>
        </w:rPr>
        <w:tab/>
        <w:t>base_product</w:t>
      </w:r>
    </w:p>
    <w:p w:rsidR="00480F31" w:rsidRPr="00480F31" w:rsidRDefault="00984D3E" w:rsidP="00513604">
      <w:pPr>
        <w:rPr>
          <w:color w:val="000000" w:themeColor="text1"/>
        </w:rPr>
      </w:pPr>
      <w:r>
        <w:rPr>
          <w:color w:val="000000" w:themeColor="text1"/>
        </w:rPr>
        <w:tab/>
      </w:r>
      <w:r>
        <w:rPr>
          <w:color w:val="000000" w:themeColor="text1"/>
        </w:rPr>
        <w:tab/>
      </w:r>
      <w:r>
        <w:rPr>
          <w:color w:val="000000" w:themeColor="text1"/>
        </w:rPr>
        <w:tab/>
        <w:t>product_set</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[DONE] 2/14</w:t>
      </w:r>
    </w:p>
    <w:p w:rsidR="00347E5B" w:rsidRDefault="00347E5B" w:rsidP="0086646D">
      <w:pPr>
        <w:rPr>
          <w:color w:val="0080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8335B3" w:rsidRDefault="00022BC8" w:rsidP="006421B6">
      <w:pPr>
        <w:rPr>
          <w:color w:val="0000FF"/>
        </w:rPr>
      </w:pPr>
      <w:r>
        <w:rPr>
          <w:color w:val="0000FF"/>
        </w:rPr>
        <w:tab/>
        <w:t>3</w:t>
      </w:r>
      <w:r w:rsidRPr="00842DFF">
        <w:rPr>
          <w:color w:val="0000FF"/>
        </w:rPr>
        <w:t>.  alignment of the register/login, cart/checkout stuff in top right of pages</w:t>
      </w:r>
    </w:p>
    <w:p w:rsidR="008335B3"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w:t>
      </w:r>
      <w:r w:rsidR="00195F38">
        <w:rPr>
          <w:color w:val="0000FF"/>
        </w:rPr>
        <w:t xml:space="preserve"> (with one or more product-sets)</w:t>
      </w:r>
      <w:r w:rsidR="00842DFF" w:rsidRPr="00842DFF">
        <w:rPr>
          <w:color w:val="0000FF"/>
        </w:rPr>
        <w:t>, complex</w:t>
      </w:r>
    </w:p>
    <w:p w:rsidR="008335B3" w:rsidRDefault="00022BC8" w:rsidP="00842DFF">
      <w:pPr>
        <w:rPr>
          <w:color w:val="0000FF"/>
        </w:rPr>
      </w:pPr>
      <w:r>
        <w:rPr>
          <w:color w:val="0000FF"/>
        </w:rPr>
        <w:tab/>
        <w:t>5</w:t>
      </w:r>
      <w:r w:rsidRPr="00842DFF">
        <w:rPr>
          <w:color w:val="0000FF"/>
        </w:rPr>
        <w:t xml:space="preserve">. </w:t>
      </w:r>
      <w:r w:rsidR="008335B3">
        <w:rPr>
          <w:color w:val="0000FF"/>
        </w:rPr>
        <w:t>register/login pages:</w:t>
      </w:r>
      <w:r w:rsidRPr="00842DFF">
        <w:rPr>
          <w:color w:val="0000FF"/>
        </w:rPr>
        <w:t xml:space="preserve">  </w:t>
      </w:r>
    </w:p>
    <w:p w:rsidR="000A47F2" w:rsidRDefault="008335B3" w:rsidP="00842DFF">
      <w:pPr>
        <w:rPr>
          <w:color w:val="0000FF"/>
        </w:rPr>
      </w:pPr>
      <w:r>
        <w:rPr>
          <w:color w:val="0000FF"/>
        </w:rPr>
        <w:tab/>
      </w:r>
      <w:r>
        <w:rPr>
          <w:color w:val="0000FF"/>
        </w:rPr>
        <w:tab/>
        <w:t>— remove left-nav to m</w:t>
      </w:r>
      <w:r w:rsidR="00022BC8" w:rsidRPr="00842DFF">
        <w:rPr>
          <w:color w:val="0000FF"/>
        </w:rPr>
        <w:t>ake them look like add-to-cart / checkout pages on Netsuite backend?</w:t>
      </w:r>
      <w:r>
        <w:rPr>
          <w:color w:val="0000FF"/>
        </w:rPr>
        <w:t xml:space="preserve">  No</w:t>
      </w:r>
      <w:r w:rsidR="000A47F2">
        <w:rPr>
          <w:color w:val="0000FF"/>
        </w:rPr>
        <w:t xml:space="preserve">: </w:t>
      </w:r>
      <w:r>
        <w:rPr>
          <w:color w:val="0000FF"/>
        </w:rPr>
        <w:t xml:space="preserve">Bill prefers to </w:t>
      </w:r>
      <w:r w:rsidR="000A47F2">
        <w:rPr>
          <w:color w:val="0000FF"/>
        </w:rPr>
        <w:t>make left-menu live</w:t>
      </w:r>
      <w:r>
        <w:rPr>
          <w:color w:val="0000FF"/>
        </w:rPr>
        <w:t xml:space="preserve"> on these pages</w:t>
      </w:r>
      <w:r w:rsidR="000A47F2">
        <w:rPr>
          <w:color w:val="0000FF"/>
        </w:rPr>
        <w:t xml:space="preser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984B6B" w:rsidRDefault="000A47F2" w:rsidP="00842DFF">
      <w:pPr>
        <w:rPr>
          <w:color w:val="0000FF"/>
        </w:rPr>
      </w:pPr>
      <w:r>
        <w:rPr>
          <w:color w:val="0000FF"/>
        </w:rPr>
        <w:tab/>
      </w:r>
      <w:r>
        <w:rPr>
          <w:color w:val="0000FF"/>
        </w:rPr>
        <w:tab/>
      </w:r>
      <w:r>
        <w:rPr>
          <w:color w:val="0000FF"/>
        </w:rPr>
        <w:tab/>
        <w:t>clinic# or id, or type the name of th</w:t>
      </w:r>
      <w:r w:rsidR="00195F38">
        <w:rPr>
          <w:color w:val="0000FF"/>
        </w:rPr>
        <w:t>e clinic; verifi</w:t>
      </w:r>
      <w:r>
        <w:rPr>
          <w:color w:val="0000FF"/>
        </w:rPr>
        <w:t xml:space="preserve">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modify views/devise/register/new.html.erb to let user put in clinic he is associated with (if any); set global session variable @@applicable_price_list;  use this to generate clinic-specific prices on simple, matrix, and complex product pages  ( pro</w:t>
      </w:r>
      <w:r w:rsidR="008335B3">
        <w:rPr>
          <w:color w:val="0000FF"/>
        </w:rPr>
        <w:t>duct/show.html.erb, base_product/show.html.eb, and product_type/</w:t>
      </w:r>
      <w:r>
        <w:rPr>
          <w:color w:val="0000FF"/>
        </w:rPr>
        <w:t>show.html.erb</w:t>
      </w:r>
      <w:r w:rsidR="008335B3">
        <w:rPr>
          <w:color w:val="0000FF"/>
        </w:rPr>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D368E3"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29B" w:rsidRDefault="00B0129B"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129B" w:rsidRDefault="00B0129B"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29B" w:rsidRDefault="00B0129B"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0BD4">
      <w:rPr>
        <w:rStyle w:val="PageNumber"/>
        <w:noProof/>
      </w:rPr>
      <w:t>25</w:t>
    </w:r>
    <w:r>
      <w:rPr>
        <w:rStyle w:val="PageNumber"/>
      </w:rPr>
      <w:fldChar w:fldCharType="end"/>
    </w:r>
  </w:p>
  <w:p w:rsidR="00B0129B" w:rsidRDefault="00B0129B"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10DBE"/>
    <w:rsid w:val="001245E9"/>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8259F"/>
    <w:rsid w:val="00886AFA"/>
    <w:rsid w:val="00886EA8"/>
    <w:rsid w:val="00886F6B"/>
    <w:rsid w:val="00887D9D"/>
    <w:rsid w:val="00894C68"/>
    <w:rsid w:val="008962CD"/>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776CE"/>
    <w:rsid w:val="00984B6B"/>
    <w:rsid w:val="00984D3E"/>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7DB9"/>
    <w:rsid w:val="00AA147D"/>
    <w:rsid w:val="00AA4037"/>
    <w:rsid w:val="00AC6897"/>
    <w:rsid w:val="00AC7CE2"/>
    <w:rsid w:val="00AE472E"/>
    <w:rsid w:val="00B0129B"/>
    <w:rsid w:val="00B114CC"/>
    <w:rsid w:val="00B26E7C"/>
    <w:rsid w:val="00B33C25"/>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240C"/>
    <w:rsid w:val="00F10C5E"/>
    <w:rsid w:val="00F2173A"/>
    <w:rsid w:val="00F22C56"/>
    <w:rsid w:val="00F44BF1"/>
    <w:rsid w:val="00F508F9"/>
    <w:rsid w:val="00F527DC"/>
    <w:rsid w:val="00F603C5"/>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13014</Words>
  <Characters>74180</Characters>
  <Application>Microsoft Macintosh Word</Application>
  <DocSecurity>0</DocSecurity>
  <Lines>618</Lines>
  <Paragraphs>148</Paragraphs>
  <ScaleCrop>false</ScaleCrop>
  <Company>personal copy</Company>
  <LinksUpToDate>false</LinksUpToDate>
  <CharactersWithSpaces>91098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7</cp:revision>
  <dcterms:created xsi:type="dcterms:W3CDTF">2012-02-16T22:23:00Z</dcterms:created>
  <dcterms:modified xsi:type="dcterms:W3CDTF">2012-02-17T07:30:00Z</dcterms:modified>
</cp:coreProperties>
</file>