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32"/>
        </w:rPr>
        <w:t>연구방법 및 결과 초안</w:t>
      </w:r>
    </w:p>
    <w:p/>
    <w:p>
      <w:pPr>
        <w:pStyle w:val="Heading1"/>
      </w:pPr>
      <w:r>
        <w:rPr>
          <w:rFonts w:ascii="맑은 고딕" w:hAnsi="맑은 고딕" w:eastAsia="맑은 고딕"/>
          <w:sz w:val="28"/>
        </w:rPr>
        <w:t>연구방법</w:t>
      </w:r>
    </w:p>
    <w:p>
      <w:pPr>
        <w:pStyle w:val="Heading2"/>
      </w:pPr>
      <w:r>
        <w:rPr>
          <w:rFonts w:ascii="맑은 고딕" w:hAnsi="맑은 고딕" w:eastAsia="맑은 고딕"/>
          <w:sz w:val="24"/>
        </w:rPr>
        <w:t>자료와 분석 단위</w:t>
      </w:r>
    </w:p>
    <w:p>
      <w:pPr>
        <w:spacing w:line="348" w:lineRule="auto" w:after="60"/>
        <w:ind w:firstLine="425"/>
      </w:pPr>
      <w:r>
        <w:rPr>
          <w:rFonts w:ascii="맑은 고딕" w:hAnsi="맑은 고딕" w:eastAsia="맑은 고딕"/>
          <w:sz w:val="21"/>
        </w:rPr>
        <w:t>본 연구는 다문화청소년패널조사(Multicultural Adolescents Panel Study, MAPS) 2기 패널 자료를 사용하였다. MAPS는 다문화 청소년과 보호자를 반복적으로 추적하는 종단 패널 자료이다. 2기 패널은 2019년 초등학교 4학년 다문화 청소년과 보호자를 대상으로 시작되었으며, 본 연구의 분석 파이프라인은 2019년부터 2023년까지 수집된 1-5차년도 자료를 사용하였다. 원자료에는 6차년도 자료도 포함되어 있으나, 현재 분석 스크립트는 1-5차년도 청소년 및 보호자 자료만을 읽도록 구성되어 있다.</w:t>
      </w:r>
    </w:p>
    <w:p>
      <w:pPr>
        <w:spacing w:line="348" w:lineRule="auto" w:after="60"/>
        <w:ind w:firstLine="425"/>
      </w:pPr>
      <w:r>
        <w:rPr>
          <w:rFonts w:ascii="맑은 고딕" w:hAnsi="맑은 고딕" w:eastAsia="맑은 고딕"/>
          <w:sz w:val="21"/>
        </w:rPr>
        <w:t>본 연구는 성장 변화나 시점 간 측정동일성을 직접 추정하지 않는다. 1-5차년도 자료는 문항 응답과 공변량 정보를 확보하기 위해 long format으로 결합되었고, 경험적 DIF 선별 단계에서는 wave를 통제변수로 포함하였다. 따라서 본 연구에서 사용하는 경험적 DIF 결과는 종단 MNLFA나 최종 DIF 판정이 아니라, LLM과 키워드 기준의 후보 우선순위화 성능을 평가하기 위한 잠정적 선별 기준이다.</w:t>
      </w:r>
    </w:p>
    <w:p>
      <w:pPr>
        <w:spacing w:line="348" w:lineRule="auto" w:after="60"/>
        <w:ind w:firstLine="425"/>
      </w:pPr>
      <w:r>
        <w:rPr>
          <w:rFonts w:ascii="맑은 고딕" w:hAnsi="맑은 고딕" w:eastAsia="맑은 고딕"/>
          <w:sz w:val="21"/>
        </w:rPr>
        <w:t>분석 단위는 개인이 아니라 문항-공변량 조합이다. 최종 문항 pool은 105개 문항으로 구성되었다. 이 중 보호자 문항은 38개, 청소년 문항은 67개였다. 보호자 문항에는 보호자 공변량을, 청소년 문항에는 청소년 공변량을 적용하였다. 성별 공변량은 청소년 문항에만 적용하였고, 보호자 문항에는 적용하지 않았다. 그 결과 전체 문항-공변량 조합은 487개로 구성되었다. 이후 LLM 응답의 파싱 가능 여부와 경험적 선별 결과와의 결합 가능 여부에 따라 분석 조합 수는 지시문 조건별로 약간 달라졌다.</w:t>
      </w:r>
    </w:p>
    <w:p>
      <w:pPr>
        <w:spacing w:line="348" w:lineRule="auto" w:after="60"/>
        <w:ind w:firstLine="425"/>
      </w:pPr>
      <w:r>
        <w:rPr>
          <w:rFonts w:ascii="맑은 고딕" w:hAnsi="맑은 고딕" w:eastAsia="맑은 고딕"/>
          <w:sz w:val="21"/>
        </w:rPr>
        <w:t>분석에 포함된 공변량은 차별 경험, 한국어 능력, 가구소득, 성별, 연령이다. 이 공변량들은 단순한 배경 통제변수로만 다루지 않았다. 한국어 능력은 문항 이해와 응답 범주 처리에 영향을 줄 수 있고, 차별 경험은 일부 문항 내용과 직접 겹칠 수 있다. 가구소득, 성별, 연령도 가족 자원, 또래 관계, 발달 단계와 관련된다. 그러나 이러한 관련성이 곧 DIF를 의미하지는 않는다. 따라서 본 연구는 공변량이 잠재특성의 실제 차이와 관련되는 경우와, 같은 잠재특성 수준에서 문항 기능 차이와 관련되는 경우를 구분하는 데 초점을 두었다.</w:t>
      </w:r>
    </w:p>
    <w:p>
      <w:pPr>
        <w:spacing w:line="348" w:lineRule="auto" w:after="60"/>
        <w:ind w:firstLine="425"/>
      </w:pPr>
      <w:r>
        <w:rPr>
          <w:rFonts w:ascii="맑은 고딕" w:hAnsi="맑은 고딕" w:eastAsia="맑은 고딕"/>
          <w:sz w:val="21"/>
        </w:rPr>
        <w:t>분석 문항은 보호자와 청소년의 심리사회적 구인을 포함하였다. 보호자 문항에는 문화적응, 문화적응 스트레스, 양육효능감, 자아존중감 관련 문항이 포함되었다. 청소년 문항에는 문화적응 스트레스, 이중문화수용, 걱정, 국가정체성, 삶의 만족, 부모 지지, 부모-자녀 관계, 친구 지지, 교사 지지, 따돌림 피해 관련 문항이 포함되었다. 청소년 걱정 척도의 일부 문항처럼 차년도 간 문항 구조가 달라 직접 비교가 어려운 문항은 제외하였다.</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jc w:val="center"/>
            </w:pPr>
            <w:r/>
            <w:r>
              <w:rPr>
                <w:rFonts w:ascii="맑은 고딕" w:hAnsi="맑은 고딕" w:eastAsia="맑은 고딕"/>
                <w:b/>
                <w:sz w:val="18"/>
              </w:rPr>
              <w:t>항목</w:t>
            </w:r>
          </w:p>
        </w:tc>
        <w:tc>
          <w:tcPr>
            <w:tcW w:type="dxa" w:w="4873"/>
            <w:vAlign w:val="center"/>
            <w:shd w:fill="D9EAF7"/>
          </w:tcPr>
          <w:p>
            <w:pPr>
              <w:jc w:val="center"/>
            </w:pPr>
            <w:r/>
            <w:r>
              <w:rPr>
                <w:rFonts w:ascii="맑은 고딕" w:hAnsi="맑은 고딕" w:eastAsia="맑은 고딕"/>
                <w:b/>
                <w:sz w:val="18"/>
              </w:rPr>
              <w:t>내용</w:t>
            </w:r>
          </w:p>
        </w:tc>
      </w:tr>
      <w:tr>
        <w:tc>
          <w:tcPr>
            <w:tcW w:type="dxa" w:w="4873"/>
            <w:vAlign w:val="center"/>
          </w:tcPr>
          <w:p>
            <w:pPr>
              <w:jc w:val="center"/>
            </w:pPr>
            <w:r/>
            <w:r>
              <w:rPr>
                <w:rFonts w:ascii="맑은 고딕" w:hAnsi="맑은 고딕" w:eastAsia="맑은 고딕"/>
                <w:b w:val="0"/>
                <w:sz w:val="18"/>
              </w:rPr>
              <w:t>자료</w:t>
            </w:r>
          </w:p>
        </w:tc>
        <w:tc>
          <w:tcPr>
            <w:tcW w:type="dxa" w:w="4873"/>
            <w:vAlign w:val="center"/>
          </w:tcPr>
          <w:p>
            <w:pPr>
              <w:jc w:val="center"/>
            </w:pPr>
            <w:r/>
            <w:r>
              <w:rPr>
                <w:rFonts w:ascii="맑은 고딕" w:hAnsi="맑은 고딕" w:eastAsia="맑은 고딕"/>
                <w:b w:val="0"/>
                <w:sz w:val="18"/>
              </w:rPr>
              <w:t>MAPS 2기 패널 1-5차년도 자료(2019-2023)</w:t>
            </w:r>
          </w:p>
        </w:tc>
      </w:tr>
      <w:tr>
        <w:tc>
          <w:tcPr>
            <w:tcW w:type="dxa" w:w="4873"/>
            <w:vAlign w:val="center"/>
          </w:tcPr>
          <w:p>
            <w:pPr>
              <w:jc w:val="center"/>
            </w:pPr>
            <w:r/>
            <w:r>
              <w:rPr>
                <w:rFonts w:ascii="맑은 고딕" w:hAnsi="맑은 고딕" w:eastAsia="맑은 고딕"/>
                <w:b w:val="0"/>
                <w:sz w:val="18"/>
              </w:rPr>
              <w:t>응답자</w:t>
            </w:r>
          </w:p>
        </w:tc>
        <w:tc>
          <w:tcPr>
            <w:tcW w:type="dxa" w:w="4873"/>
            <w:vAlign w:val="center"/>
          </w:tcPr>
          <w:p>
            <w:pPr>
              <w:jc w:val="center"/>
            </w:pPr>
            <w:r/>
            <w:r>
              <w:rPr>
                <w:rFonts w:ascii="맑은 고딕" w:hAnsi="맑은 고딕" w:eastAsia="맑은 고딕"/>
                <w:b w:val="0"/>
                <w:sz w:val="18"/>
              </w:rPr>
              <w:t>청소년 및 보호자</w:t>
            </w:r>
          </w:p>
        </w:tc>
      </w:tr>
      <w:tr>
        <w:tc>
          <w:tcPr>
            <w:tcW w:type="dxa" w:w="4873"/>
            <w:vAlign w:val="center"/>
          </w:tcPr>
          <w:p>
            <w:pPr>
              <w:jc w:val="center"/>
            </w:pPr>
            <w:r/>
            <w:r>
              <w:rPr>
                <w:rFonts w:ascii="맑은 고딕" w:hAnsi="맑은 고딕" w:eastAsia="맑은 고딕"/>
                <w:b w:val="0"/>
                <w:sz w:val="18"/>
              </w:rPr>
              <w:t>문항 수</w:t>
            </w:r>
          </w:p>
        </w:tc>
        <w:tc>
          <w:tcPr>
            <w:tcW w:type="dxa" w:w="4873"/>
            <w:vAlign w:val="center"/>
          </w:tcPr>
          <w:p>
            <w:pPr>
              <w:jc w:val="center"/>
            </w:pPr>
            <w:r/>
            <w:r>
              <w:rPr>
                <w:rFonts w:ascii="맑은 고딕" w:hAnsi="맑은 고딕" w:eastAsia="맑은 고딕"/>
                <w:b w:val="0"/>
                <w:sz w:val="18"/>
              </w:rPr>
              <w:t>105개(보호자 38개, 청소년 67개)</w:t>
            </w:r>
          </w:p>
        </w:tc>
      </w:tr>
      <w:tr>
        <w:tc>
          <w:tcPr>
            <w:tcW w:type="dxa" w:w="4873"/>
            <w:vAlign w:val="center"/>
          </w:tcPr>
          <w:p>
            <w:pPr>
              <w:jc w:val="center"/>
            </w:pPr>
            <w:r/>
            <w:r>
              <w:rPr>
                <w:rFonts w:ascii="맑은 고딕" w:hAnsi="맑은 고딕" w:eastAsia="맑은 고딕"/>
                <w:b w:val="0"/>
                <w:sz w:val="18"/>
              </w:rPr>
              <w:t>공변량</w:t>
            </w:r>
          </w:p>
        </w:tc>
        <w:tc>
          <w:tcPr>
            <w:tcW w:type="dxa" w:w="4873"/>
            <w:vAlign w:val="center"/>
          </w:tcPr>
          <w:p>
            <w:pPr>
              <w:jc w:val="center"/>
            </w:pPr>
            <w:r/>
            <w:r>
              <w:rPr>
                <w:rFonts w:ascii="맑은 고딕" w:hAnsi="맑은 고딕" w:eastAsia="맑은 고딕"/>
                <w:b w:val="0"/>
                <w:sz w:val="18"/>
              </w:rPr>
              <w:t>차별 경험, 한국어 능력, 가구소득, 성별, 연령</w:t>
            </w:r>
          </w:p>
        </w:tc>
      </w:tr>
      <w:tr>
        <w:tc>
          <w:tcPr>
            <w:tcW w:type="dxa" w:w="4873"/>
            <w:vAlign w:val="center"/>
          </w:tcPr>
          <w:p>
            <w:pPr>
              <w:jc w:val="center"/>
            </w:pPr>
            <w:r/>
            <w:r>
              <w:rPr>
                <w:rFonts w:ascii="맑은 고딕" w:hAnsi="맑은 고딕" w:eastAsia="맑은 고딕"/>
                <w:b w:val="0"/>
                <w:sz w:val="18"/>
              </w:rPr>
              <w:t>분석 단위</w:t>
            </w:r>
          </w:p>
        </w:tc>
        <w:tc>
          <w:tcPr>
            <w:tcW w:type="dxa" w:w="4873"/>
            <w:vAlign w:val="center"/>
          </w:tcPr>
          <w:p>
            <w:pPr>
              <w:jc w:val="center"/>
            </w:pPr>
            <w:r/>
            <w:r>
              <w:rPr>
                <w:rFonts w:ascii="맑은 고딕" w:hAnsi="맑은 고딕" w:eastAsia="맑은 고딕"/>
                <w:b w:val="0"/>
                <w:sz w:val="18"/>
              </w:rPr>
              <w:t>문항-공변량 조합</w:t>
            </w:r>
          </w:p>
        </w:tc>
      </w:tr>
      <w:tr>
        <w:tc>
          <w:tcPr>
            <w:tcW w:type="dxa" w:w="4873"/>
            <w:vAlign w:val="center"/>
          </w:tcPr>
          <w:p>
            <w:pPr>
              <w:jc w:val="center"/>
            </w:pPr>
            <w:r/>
            <w:r>
              <w:rPr>
                <w:rFonts w:ascii="맑은 고딕" w:hAnsi="맑은 고딕" w:eastAsia="맑은 고딕"/>
                <w:b w:val="0"/>
                <w:sz w:val="18"/>
              </w:rPr>
              <w:t>전체 조합</w:t>
            </w:r>
          </w:p>
        </w:tc>
        <w:tc>
          <w:tcPr>
            <w:tcW w:type="dxa" w:w="4873"/>
            <w:vAlign w:val="center"/>
          </w:tcPr>
          <w:p>
            <w:pPr>
              <w:jc w:val="center"/>
            </w:pPr>
            <w:r/>
            <w:r>
              <w:rPr>
                <w:rFonts w:ascii="맑은 고딕" w:hAnsi="맑은 고딕" w:eastAsia="맑은 고딕"/>
                <w:b w:val="0"/>
                <w:sz w:val="18"/>
              </w:rPr>
              <w:t>487개</w:t>
            </w:r>
          </w:p>
        </w:tc>
      </w:tr>
      <w:tr>
        <w:tc>
          <w:tcPr>
            <w:tcW w:type="dxa" w:w="4873"/>
            <w:vAlign w:val="center"/>
          </w:tcPr>
          <w:p>
            <w:pPr>
              <w:jc w:val="center"/>
            </w:pPr>
            <w:r/>
            <w:r>
              <w:rPr>
                <w:rFonts w:ascii="맑은 고딕" w:hAnsi="맑은 고딕" w:eastAsia="맑은 고딕"/>
                <w:b w:val="0"/>
                <w:sz w:val="18"/>
              </w:rPr>
              <w:t>경험 선별</w:t>
            </w:r>
          </w:p>
        </w:tc>
        <w:tc>
          <w:tcPr>
            <w:tcW w:type="dxa" w:w="4873"/>
            <w:vAlign w:val="center"/>
          </w:tcPr>
          <w:p>
            <w:pPr>
              <w:jc w:val="center"/>
            </w:pPr>
            <w:r/>
            <w:r>
              <w:rPr>
                <w:rFonts w:ascii="맑은 고딕" w:hAnsi="맑은 고딕" w:eastAsia="맑은 고딕"/>
                <w:b w:val="0"/>
                <w:sz w:val="18"/>
              </w:rPr>
              <w:t>wave를 통제한 잠정적 ordinal DIF 선별</w:t>
            </w:r>
          </w:p>
        </w:tc>
      </w:tr>
      <w:tr>
        <w:tc>
          <w:tcPr>
            <w:tcW w:type="dxa" w:w="4873"/>
            <w:vAlign w:val="center"/>
          </w:tcPr>
          <w:p>
            <w:pPr>
              <w:jc w:val="center"/>
            </w:pPr>
            <w:r/>
            <w:r>
              <w:rPr>
                <w:rFonts w:ascii="맑은 고딕" w:hAnsi="맑은 고딕" w:eastAsia="맑은 고딕"/>
                <w:b w:val="0"/>
                <w:sz w:val="18"/>
              </w:rPr>
              <w:t>제외 규칙</w:t>
            </w:r>
          </w:p>
        </w:tc>
        <w:tc>
          <w:tcPr>
            <w:tcW w:type="dxa" w:w="4873"/>
            <w:vAlign w:val="center"/>
          </w:tcPr>
          <w:p>
            <w:pPr>
              <w:jc w:val="center"/>
            </w:pPr>
            <w:r/>
            <w:r>
              <w:rPr>
                <w:rFonts w:ascii="맑은 고딕" w:hAnsi="맑은 고딕" w:eastAsia="맑은 고딕"/>
                <w:b w:val="0"/>
                <w:sz w:val="18"/>
              </w:rPr>
              <w:t>보호자 문항에는 청소년 성별 공변량 미적용</w:t>
            </w:r>
          </w:p>
        </w:tc>
      </w:tr>
    </w:tbl>
    <w:p/>
    <w:p>
      <w:pPr>
        <w:pStyle w:val="Heading2"/>
      </w:pPr>
      <w:r>
        <w:rPr>
          <w:rFonts w:ascii="맑은 고딕" w:hAnsi="맑은 고딕" w:eastAsia="맑은 고딕"/>
          <w:sz w:val="24"/>
        </w:rPr>
        <w:t>LLM 기반 DIF 후보 가설 생성</w:t>
      </w:r>
    </w:p>
    <w:p>
      <w:pPr>
        <w:spacing w:line="348" w:lineRule="auto" w:after="60"/>
        <w:ind w:firstLine="425"/>
      </w:pPr>
      <w:r>
        <w:rPr>
          <w:rFonts w:ascii="맑은 고딕" w:hAnsi="맑은 고딕" w:eastAsia="맑은 고딕"/>
          <w:sz w:val="21"/>
        </w:rPr>
        <w:t>대규모 언어모형은 Gemini 2.5 Flash를 사용하였다. 모형에는 각 문항의 구인 정보, 문항 문장, 응답 범주, 공변량 정의를 입력하였다. 경험적 DIF 선별 결과, p값, 효과크기, 문항 통계량은 입력하지 않았다. 따라서 LLM 산출물은 경험적 결과를 보지 않은 상태에서 생성된 후보 가설로 간주하였다.</w:t>
      </w:r>
    </w:p>
    <w:p>
      <w:pPr>
        <w:spacing w:line="348" w:lineRule="auto" w:after="60"/>
        <w:ind w:firstLine="425"/>
      </w:pPr>
      <w:r>
        <w:rPr>
          <w:rFonts w:ascii="맑은 고딕" w:hAnsi="맑은 고딕" w:eastAsia="맑은 고딕"/>
          <w:sz w:val="21"/>
        </w:rPr>
        <w:t>LLM은 각 문항-공변량 조합에 대해 네 가지 정보를 산출하도록 요청받았다. 첫째, 문턱 DIF 가능성 점수, 둘째, 예상 방향, 셋째, 확신도, 넷째, 판단 근거이다. 출력은 JSON 형식으로 제한하였다. 모든 원자료 응답은 저장하였고, 이후 파싱하여 분석용 표로 변환하였다.</w:t>
      </w:r>
    </w:p>
    <w:p>
      <w:pPr>
        <w:spacing w:line="348" w:lineRule="auto" w:after="60"/>
        <w:ind w:firstLine="425"/>
      </w:pPr>
      <w:r>
        <w:rPr>
          <w:rFonts w:ascii="맑은 고딕" w:hAnsi="맑은 고딕" w:eastAsia="맑은 고딕"/>
          <w:sz w:val="21"/>
        </w:rPr>
        <w:t>본 연구는 두 가지 지시문 조건을 비교하였다. 첫째, 기본 지시문은 문항과 공변량 사이의 의미적 관련성을 바탕으로 문턱 DIF 가능성을 평가하도록 구성하였다. 둘째, 엄격한 DIF 구분 지시문은 잠재특성의 실제 차이와 같은 잠재특성 수준에서의 문항 기능 차이를 명시적으로 구분하도록 요구하였다. 이 지시문은 단순한 집단 평균 차이, 일반적 위험요인, 사회적 배경 차이를 DIF 근거로 사용하지 말고, 문항 표현이나 응답 과정이 문턱 차이로 이어질 수 있을 때 높은 점수를 부여하도록 구성하였다.</w:t>
      </w:r>
    </w:p>
    <w:p>
      <w:pPr>
        <w:pStyle w:val="Heading2"/>
      </w:pPr>
      <w:r>
        <w:rPr>
          <w:rFonts w:ascii="맑은 고딕" w:hAnsi="맑은 고딕" w:eastAsia="맑은 고딕"/>
          <w:sz w:val="24"/>
        </w:rPr>
        <w:t>키워드 비교 기준</w:t>
      </w:r>
    </w:p>
    <w:p>
      <w:pPr>
        <w:spacing w:line="348" w:lineRule="auto" w:after="60"/>
        <w:ind w:firstLine="425"/>
      </w:pPr>
      <w:r>
        <w:rPr>
          <w:rFonts w:ascii="맑은 고딕" w:hAnsi="맑은 고딕" w:eastAsia="맑은 고딕"/>
          <w:sz w:val="21"/>
        </w:rPr>
        <w:t>LLM의 산출물이 단순한 표면 단어 일치보다 추가적인 정보를 제공하는지 확인하기 위해 키워드 비교 기준을 만들었다. 키워드 비교 기준은 문항 텍스트에 공변량 관련 핵심어가 포함되는지를 규칙에 따라 점수화한 기준이다. 이 기준은 LLM 출력, 경험적 DIF 결과, 응답 분포, 문항 통계량을 사용하지 않았다.</w:t>
      </w:r>
    </w:p>
    <w:p>
      <w:pPr>
        <w:spacing w:line="348" w:lineRule="auto" w:after="60"/>
        <w:ind w:firstLine="425"/>
      </w:pPr>
      <w:r>
        <w:rPr>
          <w:rFonts w:ascii="맑은 고딕" w:hAnsi="맑은 고딕" w:eastAsia="맑은 고딕"/>
          <w:sz w:val="21"/>
        </w:rPr>
        <w:t>예를 들어 차별 경험과 관련해서는 차별, 무시, 외국인, 따돌림, 놀림과 같은 단어를 사용하였다. 한국어 능력과 관련해서는 한국어, 언어, 한국문화, 외국, 문화와 같은 단어를 사용하였다. 가구소득, 성별, 연령에 대해서도 각각 경제적 조건, 또래 관계 및 외모, 발달 단계 및 진로와 관련된 키워드를 기준으로 삼았다. 이 기준은 의도적으로 단순하게 구성하였다. 목적은 복잡한 자연어 처리 모형을 만드는 것이 아니라, LLM이 최소한의 표면 단서 기준보다 나은 우선순위화 성능을 보이는지 확인하는 데 있었다.</w:t>
      </w:r>
    </w:p>
    <w:p>
      <w:pPr>
        <w:pStyle w:val="Heading2"/>
      </w:pPr>
      <w:r>
        <w:rPr>
          <w:rFonts w:ascii="맑은 고딕" w:hAnsi="맑은 고딕" w:eastAsia="맑은 고딕"/>
          <w:sz w:val="24"/>
        </w:rPr>
        <w:t>잠정적 경험 DIF 선별</w:t>
      </w:r>
    </w:p>
    <w:p>
      <w:pPr>
        <w:spacing w:line="348" w:lineRule="auto" w:after="60"/>
        <w:ind w:firstLine="425"/>
      </w:pPr>
      <w:r>
        <w:rPr>
          <w:rFonts w:ascii="맑은 고딕" w:hAnsi="맑은 고딕" w:eastAsia="맑은 고딕"/>
          <w:sz w:val="21"/>
        </w:rPr>
        <w:t>LLM과 키워드 기준의 성능은 잠정적 ordinal DIF 선별 결과와 비교하였다. 이 선별 결과는 최종 DIF 판정이나 참값으로 사용하지 않았다. 본 연구에서는 LLM 산출물과 키워드 기준이 경험적 후보와 어느 정도 정렬되는지 보기 위한 기준으로 사용하였다.</w:t>
      </w:r>
    </w:p>
    <w:p>
      <w:pPr>
        <w:spacing w:line="348" w:lineRule="auto" w:after="60"/>
        <w:ind w:firstLine="425"/>
      </w:pPr>
      <w:r>
        <w:rPr>
          <w:rFonts w:ascii="맑은 고딕" w:hAnsi="맑은 고딕" w:eastAsia="맑은 고딕"/>
          <w:sz w:val="21"/>
        </w:rPr>
        <w:t>경험적 선별 모형은 문항 응답을 ordinal outcome으로 두고, leave-one-item-out 방식으로 구성한 척도 점수 proxy, 해당 공변량, wave를 예측변수로 포함하였다. 즉 각 문항에 대해 '문항 응답 = 척도 점수 proxy + 공변량 + wave' 형태의 모형을 사용하였다.</w:t>
      </w:r>
    </w:p>
    <w:p>
      <w:pPr>
        <w:spacing w:line="348" w:lineRule="auto" w:after="60"/>
        <w:ind w:firstLine="425"/>
      </w:pPr>
      <w:r>
        <w:rPr>
          <w:rFonts w:ascii="맑은 고딕" w:hAnsi="맑은 고딕" w:eastAsia="맑은 고딕"/>
          <w:sz w:val="21"/>
        </w:rPr>
        <w:t>이 모형은 문항 기능 차이에 대한 예비 신호를 찾기 위한 실용적 선별 모형이다. 종단 MNLFA, 성장모형, 시점 간 측정동일성 검정은 수행하지 않았다. 결측이 있는 경우에는 해당 문항 응답, 척도 점수 proxy, wave, 공변량이 모두 관찰된 사례만 사용하였다. 따라서 현재 분석은 complete-case 기반의 잠정적 screening으로 이해해야 한다.</w:t>
      </w:r>
    </w:p>
    <w:p>
      <w:pPr>
        <w:pStyle w:val="Heading2"/>
      </w:pPr>
      <w:r>
        <w:rPr>
          <w:rFonts w:ascii="맑은 고딕" w:hAnsi="맑은 고딕" w:eastAsia="맑은 고딕"/>
          <w:sz w:val="24"/>
        </w:rPr>
        <w:t>평가 지표</w:t>
      </w:r>
    </w:p>
    <w:p>
      <w:pPr>
        <w:spacing w:line="348" w:lineRule="auto" w:after="60"/>
        <w:ind w:firstLine="425"/>
      </w:pPr>
      <w:r>
        <w:rPr>
          <w:rFonts w:ascii="맑은 고딕" w:hAnsi="맑은 고딕" w:eastAsia="맑은 고딕"/>
          <w:sz w:val="21"/>
        </w:rPr>
        <w:t>주요 평가지표는 average precision(AP)이다. AP는 경험적 DIF 후보가 점수 순위의 상위에 얼마나 잘 배치되는지를 평가한다. 본 연구의 목적은 최종 이분 분류가 아니라 후보 우선순위화이므로, 정확도보다 AP를 주 지표로 사용하였다. 보조 지표로 precision@5와 precision@10을 함께 보고하였다.</w:t>
      </w:r>
    </w:p>
    <w:p>
      <w:pPr>
        <w:spacing w:line="348" w:lineRule="auto" w:after="60"/>
        <w:ind w:firstLine="425"/>
      </w:pPr>
      <w:r>
        <w:rPr>
          <w:rFonts w:ascii="맑은 고딕" w:hAnsi="맑은 고딕" w:eastAsia="맑은 고딕"/>
          <w:sz w:val="21"/>
        </w:rPr>
        <w:t>또한 기본 지시문과 엄격한 DIF 구분 지시문의 결과가 얼마나 일관적인지 확인하기 위해 Spearman 순위상관과 상위 후보 overlap을 계산하였다. 이를 통해 LLM 산출물이 지시문 조건에 얼마나 민감한지 확인하였다.</w:t>
      </w:r>
    </w:p>
    <w:p>
      <w:pPr>
        <w:pStyle w:val="Heading2"/>
      </w:pPr>
      <w:r>
        <w:rPr>
          <w:rFonts w:ascii="맑은 고딕" w:hAnsi="맑은 고딕" w:eastAsia="맑은 고딕"/>
          <w:sz w:val="24"/>
        </w:rPr>
        <w:t>판단 근거 코딩</w:t>
      </w:r>
    </w:p>
    <w:p>
      <w:pPr>
        <w:spacing w:line="348" w:lineRule="auto" w:after="60"/>
        <w:ind w:firstLine="425"/>
      </w:pPr>
      <w:r>
        <w:rPr>
          <w:rFonts w:ascii="맑은 고딕" w:hAnsi="맑은 고딕" w:eastAsia="맑은 고딕"/>
          <w:sz w:val="21"/>
        </w:rPr>
        <w:t>LLM의 판단 근거는 별도의 분석 대상으로 다루었다. 자동 규칙 기반 코딩을 통해 각 판단 근거가 어떤 설명 유형을 포함하는지 분류하였다. 코딩 범주는 응답 과정 기반 근거, 검증 가능한 가설 표현, 같은 잠재특성 수준 조건의 명시 여부, 모호한 일반론, 성별·연령 고정관념 가능성, 문항 내용과 직접 관련이 약한 추측, 실제 잠재특성 차이를 DIF로 오인할 가능성 등으로 구성하였다.</w:t>
      </w:r>
    </w:p>
    <w:p>
      <w:pPr>
        <w:spacing w:line="348" w:lineRule="auto" w:after="60"/>
        <w:ind w:firstLine="425"/>
      </w:pPr>
      <w:r>
        <w:rPr>
          <w:rFonts w:ascii="맑은 고딕" w:hAnsi="맑은 고딕" w:eastAsia="맑은 고딕"/>
          <w:sz w:val="21"/>
        </w:rPr>
        <w:t>이 코딩은 LLM 판단의 타당성을 확정하기 위한 절차가 아니다. LLM이 문항과 공변량 사이의 관계를 어떤 방식으로 구성하는지, 그리고 지시문 조건에 따라 그 판단 근거가 어떻게 달라지는지를 보기 위한 절차다.</w:t>
      </w:r>
    </w:p>
    <w:p>
      <w:pPr>
        <w:pStyle w:val="Heading1"/>
      </w:pPr>
      <w:r>
        <w:rPr>
          <w:rFonts w:ascii="맑은 고딕" w:hAnsi="맑은 고딕" w:eastAsia="맑은 고딕"/>
          <w:sz w:val="28"/>
        </w:rPr>
        <w:t>결과</w:t>
      </w:r>
    </w:p>
    <w:p>
      <w:pPr>
        <w:pStyle w:val="Heading2"/>
      </w:pPr>
      <w:r>
        <w:rPr>
          <w:rFonts w:ascii="맑은 고딕" w:hAnsi="맑은 고딕" w:eastAsia="맑은 고딕"/>
          <w:sz w:val="24"/>
        </w:rPr>
        <w:t>LLM 산출물과 파싱 결과</w:t>
      </w:r>
    </w:p>
    <w:p>
      <w:pPr>
        <w:spacing w:line="348" w:lineRule="auto" w:after="60"/>
        <w:ind w:firstLine="425"/>
      </w:pPr>
      <w:r>
        <w:rPr>
          <w:rFonts w:ascii="맑은 고딕" w:hAnsi="맑은 고딕" w:eastAsia="맑은 고딕"/>
          <w:sz w:val="21"/>
        </w:rPr>
        <w:t>기본 지시문과 엄격한 DIF 구분 지시문을 사용하여 105개 문항에 대한 LLM 산출물을 생성하였다. 기본 지시문 조건에서는 486개 문항-공변량 예측값이 분석에 포함되었고, 이 중 잠정적 경험 DIF 후보는 128개였다. 엄격한 DIF 구분 지시문 조건에서는 482개 예측값이 분석에 포함되었고, 잠정적 경험 DIF 후보는 127개였다.</w:t>
      </w:r>
    </w:p>
    <w:p>
      <w:pPr>
        <w:spacing w:line="348" w:lineRule="auto" w:after="60"/>
        <w:ind w:firstLine="425"/>
      </w:pPr>
      <w:r>
        <w:rPr>
          <w:rFonts w:ascii="맑은 고딕" w:hAnsi="맑은 고딕" w:eastAsia="맑은 고딕"/>
          <w:sz w:val="21"/>
        </w:rPr>
        <w:t>기본 지시문 조건의 예측값은 모두 정상적으로 파싱되었다. 엄격한 DIF 구분 지시문 조건에서는 일부 age 관련 조합이 누락되어 기본 지시문보다 분석 조합 수가 4개 적었다. 이 차이는 결과 해석에서 고려하였다.</w:t>
      </w:r>
    </w:p>
    <w:p>
      <w:pPr>
        <w:pStyle w:val="Heading2"/>
      </w:pPr>
      <w:r>
        <w:rPr>
          <w:rFonts w:ascii="맑은 고딕" w:hAnsi="맑은 고딕" w:eastAsia="맑은 고딕"/>
          <w:sz w:val="24"/>
        </w:rPr>
        <w:t>전체 우선순위화 성능</w:t>
      </w:r>
    </w:p>
    <w:p>
      <w:pPr>
        <w:spacing w:line="348" w:lineRule="auto" w:after="60"/>
        <w:ind w:firstLine="425"/>
      </w:pPr>
      <w:r>
        <w:rPr>
          <w:rFonts w:ascii="맑은 고딕" w:hAnsi="맑은 고딕" w:eastAsia="맑은 고딕"/>
          <w:sz w:val="21"/>
        </w:rPr>
        <w:t>전체 수준에서 기본 지시문 조건의 LLM AP는 .382였다. 같은 조합에서 키워드 비교 기준의 AP는 .441이었다. 따라서 기본 지시문 조건의 LLM은 전체적으로 키워드 비교 기준보다 낮은 우선순위화 성능을 보였다. precision@5는 두 방법 모두 .600이었으나, precision@10은 LLM이 .600, 키워드 비교 기준이 .700이었다.</w:t>
      </w:r>
    </w:p>
    <w:p>
      <w:pPr>
        <w:spacing w:line="348" w:lineRule="auto" w:after="60"/>
        <w:ind w:firstLine="425"/>
      </w:pPr>
      <w:r>
        <w:rPr>
          <w:rFonts w:ascii="맑은 고딕" w:hAnsi="맑은 고딕" w:eastAsia="맑은 고딕"/>
          <w:sz w:val="21"/>
        </w:rPr>
        <w:t>엄격한 DIF 구분 지시문 조건에서는 LLM AP가 .405로 증가하였다. 기본 지시문보다 높아졌지만, 같은 조건에서 키워드 비교 기준의 AP(.445)보다는 낮았다. precision@5는 LLM .400, 키워드 비교 기준 .600이었고, precision@10은 LLM .300, 키워드 비교 기준 .700이었다.</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shd w:fill="D9EAF7"/>
          </w:tcPr>
          <w:p>
            <w:pPr>
              <w:jc w:val="center"/>
            </w:pPr>
            <w:r/>
            <w:r>
              <w:rPr>
                <w:rFonts w:ascii="맑은 고딕" w:hAnsi="맑은 고딕" w:eastAsia="맑은 고딕"/>
                <w:b/>
                <w:sz w:val="18"/>
              </w:rPr>
              <w:t>지시문 조건</w:t>
            </w:r>
          </w:p>
        </w:tc>
        <w:tc>
          <w:tcPr>
            <w:tcW w:type="dxa" w:w="1083"/>
            <w:vAlign w:val="center"/>
            <w:shd w:fill="D9EAF7"/>
          </w:tcPr>
          <w:p>
            <w:pPr>
              <w:jc w:val="center"/>
            </w:pPr>
            <w:r/>
            <w:r>
              <w:rPr>
                <w:rFonts w:ascii="맑은 고딕" w:hAnsi="맑은 고딕" w:eastAsia="맑은 고딕"/>
                <w:b/>
                <w:sz w:val="18"/>
              </w:rPr>
              <w:t>분석 조합 수</w:t>
            </w:r>
          </w:p>
        </w:tc>
        <w:tc>
          <w:tcPr>
            <w:tcW w:type="dxa" w:w="1083"/>
            <w:vAlign w:val="center"/>
            <w:shd w:fill="D9EAF7"/>
          </w:tcPr>
          <w:p>
            <w:pPr>
              <w:jc w:val="center"/>
            </w:pPr>
            <w:r/>
            <w:r>
              <w:rPr>
                <w:rFonts w:ascii="맑은 고딕" w:hAnsi="맑은 고딕" w:eastAsia="맑은 고딕"/>
                <w:b/>
                <w:sz w:val="18"/>
              </w:rPr>
              <w:t>경험 DIF 후보 수</w:t>
            </w:r>
          </w:p>
        </w:tc>
        <w:tc>
          <w:tcPr>
            <w:tcW w:type="dxa" w:w="1083"/>
            <w:vAlign w:val="center"/>
            <w:shd w:fill="D9EAF7"/>
          </w:tcPr>
          <w:p>
            <w:pPr>
              <w:jc w:val="center"/>
            </w:pPr>
            <w:r/>
            <w:r>
              <w:rPr>
                <w:rFonts w:ascii="맑은 고딕" w:hAnsi="맑은 고딕" w:eastAsia="맑은 고딕"/>
                <w:b/>
                <w:sz w:val="18"/>
              </w:rPr>
              <w:t>LLM AP</w:t>
            </w:r>
          </w:p>
        </w:tc>
        <w:tc>
          <w:tcPr>
            <w:tcW w:type="dxa" w:w="1083"/>
            <w:vAlign w:val="center"/>
            <w:shd w:fill="D9EAF7"/>
          </w:tcPr>
          <w:p>
            <w:pPr>
              <w:jc w:val="center"/>
            </w:pPr>
            <w:r/>
            <w:r>
              <w:rPr>
                <w:rFonts w:ascii="맑은 고딕" w:hAnsi="맑은 고딕" w:eastAsia="맑은 고딕"/>
                <w:b/>
                <w:sz w:val="18"/>
              </w:rPr>
              <w:t>키워드 AP</w:t>
            </w:r>
          </w:p>
        </w:tc>
        <w:tc>
          <w:tcPr>
            <w:tcW w:type="dxa" w:w="1083"/>
            <w:vAlign w:val="center"/>
            <w:shd w:fill="D9EAF7"/>
          </w:tcPr>
          <w:p>
            <w:pPr>
              <w:jc w:val="center"/>
            </w:pPr>
            <w:r/>
            <w:r>
              <w:rPr>
                <w:rFonts w:ascii="맑은 고딕" w:hAnsi="맑은 고딕" w:eastAsia="맑은 고딕"/>
                <w:b/>
                <w:sz w:val="18"/>
              </w:rPr>
              <w:t>LLM P@5</w:t>
            </w:r>
          </w:p>
        </w:tc>
        <w:tc>
          <w:tcPr>
            <w:tcW w:type="dxa" w:w="1083"/>
            <w:vAlign w:val="center"/>
            <w:shd w:fill="D9EAF7"/>
          </w:tcPr>
          <w:p>
            <w:pPr>
              <w:jc w:val="center"/>
            </w:pPr>
            <w:r/>
            <w:r>
              <w:rPr>
                <w:rFonts w:ascii="맑은 고딕" w:hAnsi="맑은 고딕" w:eastAsia="맑은 고딕"/>
                <w:b/>
                <w:sz w:val="18"/>
              </w:rPr>
              <w:t>키워드 P@5</w:t>
            </w:r>
          </w:p>
        </w:tc>
        <w:tc>
          <w:tcPr>
            <w:tcW w:type="dxa" w:w="1083"/>
            <w:vAlign w:val="center"/>
            <w:shd w:fill="D9EAF7"/>
          </w:tcPr>
          <w:p>
            <w:pPr>
              <w:jc w:val="center"/>
            </w:pPr>
            <w:r/>
            <w:r>
              <w:rPr>
                <w:rFonts w:ascii="맑은 고딕" w:hAnsi="맑은 고딕" w:eastAsia="맑은 고딕"/>
                <w:b/>
                <w:sz w:val="18"/>
              </w:rPr>
              <w:t>LLM P@10</w:t>
            </w:r>
          </w:p>
        </w:tc>
        <w:tc>
          <w:tcPr>
            <w:tcW w:type="dxa" w:w="1083"/>
            <w:vAlign w:val="center"/>
            <w:shd w:fill="D9EAF7"/>
          </w:tcPr>
          <w:p>
            <w:pPr>
              <w:jc w:val="center"/>
            </w:pPr>
            <w:r/>
            <w:r>
              <w:rPr>
                <w:rFonts w:ascii="맑은 고딕" w:hAnsi="맑은 고딕" w:eastAsia="맑은 고딕"/>
                <w:b/>
                <w:sz w:val="18"/>
              </w:rPr>
              <w:t>키워드 P@10</w:t>
            </w:r>
          </w:p>
        </w:tc>
      </w:tr>
      <w:tr>
        <w:tc>
          <w:tcPr>
            <w:tcW w:type="dxa" w:w="1083"/>
            <w:vAlign w:val="center"/>
          </w:tcPr>
          <w:p>
            <w:pPr>
              <w:jc w:val="center"/>
            </w:pPr>
            <w:r/>
            <w:r>
              <w:rPr>
                <w:rFonts w:ascii="맑은 고딕" w:hAnsi="맑은 고딕" w:eastAsia="맑은 고딕"/>
                <w:b w:val="0"/>
                <w:sz w:val="18"/>
              </w:rPr>
              <w:t>기본 지시문</w:t>
            </w:r>
          </w:p>
        </w:tc>
        <w:tc>
          <w:tcPr>
            <w:tcW w:type="dxa" w:w="1083"/>
            <w:vAlign w:val="center"/>
          </w:tcPr>
          <w:p>
            <w:pPr>
              <w:jc w:val="center"/>
            </w:pPr>
            <w:r/>
            <w:r>
              <w:rPr>
                <w:rFonts w:ascii="맑은 고딕" w:hAnsi="맑은 고딕" w:eastAsia="맑은 고딕"/>
                <w:b w:val="0"/>
                <w:sz w:val="18"/>
              </w:rPr>
              <w:t>486</w:t>
            </w:r>
          </w:p>
        </w:tc>
        <w:tc>
          <w:tcPr>
            <w:tcW w:type="dxa" w:w="1083"/>
            <w:vAlign w:val="center"/>
          </w:tcPr>
          <w:p>
            <w:pPr>
              <w:jc w:val="center"/>
            </w:pPr>
            <w:r/>
            <w:r>
              <w:rPr>
                <w:rFonts w:ascii="맑은 고딕" w:hAnsi="맑은 고딕" w:eastAsia="맑은 고딕"/>
                <w:b w:val="0"/>
                <w:sz w:val="18"/>
              </w:rPr>
              <w:t>128</w:t>
            </w:r>
          </w:p>
        </w:tc>
        <w:tc>
          <w:tcPr>
            <w:tcW w:type="dxa" w:w="1083"/>
            <w:vAlign w:val="center"/>
          </w:tcPr>
          <w:p>
            <w:pPr>
              <w:jc w:val="center"/>
            </w:pPr>
            <w:r/>
            <w:r>
              <w:rPr>
                <w:rFonts w:ascii="맑은 고딕" w:hAnsi="맑은 고딕" w:eastAsia="맑은 고딕"/>
                <w:b w:val="0"/>
                <w:sz w:val="18"/>
              </w:rPr>
              <w:t>.382</w:t>
            </w:r>
          </w:p>
        </w:tc>
        <w:tc>
          <w:tcPr>
            <w:tcW w:type="dxa" w:w="1083"/>
            <w:vAlign w:val="center"/>
          </w:tcPr>
          <w:p>
            <w:pPr>
              <w:jc w:val="center"/>
            </w:pPr>
            <w:r/>
            <w:r>
              <w:rPr>
                <w:rFonts w:ascii="맑은 고딕" w:hAnsi="맑은 고딕" w:eastAsia="맑은 고딕"/>
                <w:b w:val="0"/>
                <w:sz w:val="18"/>
              </w:rPr>
              <w:t>.441</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.700</w:t>
            </w:r>
          </w:p>
        </w:tc>
      </w:tr>
      <w:tr>
        <w:tc>
          <w:tcPr>
            <w:tcW w:type="dxa" w:w="1083"/>
            <w:vAlign w:val="center"/>
          </w:tcPr>
          <w:p>
            <w:pPr>
              <w:jc w:val="center"/>
            </w:pPr>
            <w:r/>
            <w:r>
              <w:rPr>
                <w:rFonts w:ascii="맑은 고딕" w:hAnsi="맑은 고딕" w:eastAsia="맑은 고딕"/>
                <w:b w:val="0"/>
                <w:sz w:val="18"/>
              </w:rPr>
              <w:t>엄격한 DIF 구분 지시문</w:t>
            </w:r>
          </w:p>
        </w:tc>
        <w:tc>
          <w:tcPr>
            <w:tcW w:type="dxa" w:w="1083"/>
            <w:vAlign w:val="center"/>
          </w:tcPr>
          <w:p>
            <w:pPr>
              <w:jc w:val="center"/>
            </w:pPr>
            <w:r/>
            <w:r>
              <w:rPr>
                <w:rFonts w:ascii="맑은 고딕" w:hAnsi="맑은 고딕" w:eastAsia="맑은 고딕"/>
                <w:b w:val="0"/>
                <w:sz w:val="18"/>
              </w:rPr>
              <w:t>482</w:t>
            </w:r>
          </w:p>
        </w:tc>
        <w:tc>
          <w:tcPr>
            <w:tcW w:type="dxa" w:w="1083"/>
            <w:vAlign w:val="center"/>
          </w:tcPr>
          <w:p>
            <w:pPr>
              <w:jc w:val="center"/>
            </w:pPr>
            <w:r/>
            <w:r>
              <w:rPr>
                <w:rFonts w:ascii="맑은 고딕" w:hAnsi="맑은 고딕" w:eastAsia="맑은 고딕"/>
                <w:b w:val="0"/>
                <w:sz w:val="18"/>
              </w:rPr>
              <w:t>127</w:t>
            </w:r>
          </w:p>
        </w:tc>
        <w:tc>
          <w:tcPr>
            <w:tcW w:type="dxa" w:w="1083"/>
            <w:vAlign w:val="center"/>
          </w:tcPr>
          <w:p>
            <w:pPr>
              <w:jc w:val="center"/>
            </w:pPr>
            <w:r/>
            <w:r>
              <w:rPr>
                <w:rFonts w:ascii="맑은 고딕" w:hAnsi="맑은 고딕" w:eastAsia="맑은 고딕"/>
                <w:b w:val="0"/>
                <w:sz w:val="18"/>
              </w:rPr>
              <w:t>.405</w:t>
            </w:r>
          </w:p>
        </w:tc>
        <w:tc>
          <w:tcPr>
            <w:tcW w:type="dxa" w:w="1083"/>
            <w:vAlign w:val="center"/>
          </w:tcPr>
          <w:p>
            <w:pPr>
              <w:jc w:val="center"/>
            </w:pPr>
            <w:r/>
            <w:r>
              <w:rPr>
                <w:rFonts w:ascii="맑은 고딕" w:hAnsi="맑은 고딕" w:eastAsia="맑은 고딕"/>
                <w:b w:val="0"/>
                <w:sz w:val="18"/>
              </w:rPr>
              <w:t>.445</w:t>
            </w:r>
          </w:p>
        </w:tc>
        <w:tc>
          <w:tcPr>
            <w:tcW w:type="dxa" w:w="1083"/>
            <w:vAlign w:val="center"/>
          </w:tcPr>
          <w:p>
            <w:pPr>
              <w:jc w:val="center"/>
            </w:pPr>
            <w:r/>
            <w:r>
              <w:rPr>
                <w:rFonts w:ascii="맑은 고딕" w:hAnsi="맑은 고딕" w:eastAsia="맑은 고딕"/>
                <w:b w:val="0"/>
                <w:sz w:val="18"/>
              </w:rPr>
              <w:t>.400</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.300</w:t>
            </w:r>
          </w:p>
        </w:tc>
        <w:tc>
          <w:tcPr>
            <w:tcW w:type="dxa" w:w="1083"/>
            <w:vAlign w:val="center"/>
          </w:tcPr>
          <w:p>
            <w:pPr>
              <w:jc w:val="center"/>
            </w:pPr>
            <w:r/>
            <w:r>
              <w:rPr>
                <w:rFonts w:ascii="맑은 고딕" w:hAnsi="맑은 고딕" w:eastAsia="맑은 고딕"/>
                <w:b w:val="0"/>
                <w:sz w:val="18"/>
              </w:rPr>
              <w:t>.700</w:t>
            </w:r>
          </w:p>
        </w:tc>
      </w:tr>
    </w:tbl>
    <w:p/>
    <w:p>
      <w:pPr>
        <w:spacing w:line="348" w:lineRule="auto" w:after="60"/>
        <w:ind w:firstLine="425"/>
      </w:pPr>
      <w:r>
        <w:rPr>
          <w:rFonts w:ascii="맑은 고딕" w:hAnsi="맑은 고딕" w:eastAsia="맑은 고딕"/>
          <w:sz w:val="21"/>
        </w:rPr>
        <w:t>요약하면, 기본 지시문 조건에서 LLM은 전체 수준에서 키워드 비교 기준을 넘지 못했다. 엄격한 DIF 구분 지시문은 LLM의 AP를 소폭 개선했지만, 그 개선은 키워드 기준을 넘어설 정도는 아니었다.</w:t>
      </w:r>
    </w:p>
    <w:p>
      <w:pPr>
        <w:pStyle w:val="Heading2"/>
      </w:pPr>
      <w:r>
        <w:rPr>
          <w:rFonts w:ascii="맑은 고딕" w:hAnsi="맑은 고딕" w:eastAsia="맑은 고딕"/>
          <w:sz w:val="24"/>
        </w:rPr>
        <w:t>공변량별 성능</w:t>
      </w:r>
    </w:p>
    <w:p>
      <w:pPr>
        <w:spacing w:line="348" w:lineRule="auto" w:after="60"/>
        <w:ind w:firstLine="425"/>
      </w:pPr>
      <w:r>
        <w:rPr>
          <w:rFonts w:ascii="맑은 고딕" w:hAnsi="맑은 고딕" w:eastAsia="맑은 고딕"/>
          <w:sz w:val="21"/>
        </w:rPr>
        <w:t>공변량별 결과는 LLM의 성능이 공변량의 성격에 따라 달라짐을 보여준다. 차별 경험에서는 기본 지시문 조건의 LLM AP가 .612였고, 엄격한 DIF 구분 지시문 조건에서는 .681로 증가하였다. 같은 공변량에서 키워드 비교 기준의 AP는 .699였다. 엄격한 지시문은 차별 경험 공변량에서 LLM의 우선순위화 성능을 키워드 기준에 가깝게 높였지만, 키워드 기준을 넘지는 못했다.</w:t>
      </w:r>
    </w:p>
    <w:p>
      <w:pPr>
        <w:spacing w:line="348" w:lineRule="auto" w:after="60"/>
        <w:ind w:firstLine="425"/>
      </w:pPr>
      <w:r>
        <w:rPr>
          <w:rFonts w:ascii="맑은 고딕" w:hAnsi="맑은 고딕" w:eastAsia="맑은 고딕"/>
          <w:sz w:val="21"/>
        </w:rPr>
        <w:t>한국어 능력에서는 기본 지시문 조건의 LLM AP가 .373, 엄격한 DIF 구분 지시문 조건의 LLM AP가 .396이었다. 키워드 비교 기준의 AP는 .575였다. 이는 초기 pilot 분석에서 보였던 한국어 능력 관련 LLM 우위가 전체 문항으로 확장되었을 때 유지되지 않았음을 의미한다. 전체 문항에서는 한국어, 문화, 언어와 같은 표면 단서가 키워드 기준에 비교적 잘 반영된 것으로 보인다.</w:t>
      </w:r>
    </w:p>
    <w:p>
      <w:pPr>
        <w:spacing w:line="348" w:lineRule="auto" w:after="60"/>
        <w:ind w:firstLine="425"/>
      </w:pPr>
      <w:r>
        <w:rPr>
          <w:rFonts w:ascii="맑은 고딕" w:hAnsi="맑은 고딕" w:eastAsia="맑은 고딕"/>
          <w:sz w:val="21"/>
        </w:rPr>
        <w:t>성별에서는 기본 지시문 조건의 LLM AP가 .340, 엄격한 DIF 구분 지시문 조건의 LLM AP가 .305였다. 키워드 비교 기준의 AP는 .282였다. 두 LLM 조건 모두 키워드 기준보다 높았지만, 엄격한 지시문에서 성능은 낮아졌다. 연령에서는 기본 지시문 조건의 LLM AP가 .226, 엄격한 DIF 구분 지시문 조건의 LLM AP가 .253이었다. 키워드 기준 AP는 각각 .245와 .252로 거의 같은 수준이었다. 가구소득에서는 경험적 DIF 후보가 3개뿐이었고, LLM과 키워드 기준 모두 낮은 성능을 보였다. 이 공변량의 결과는 강하게 해석하기 어렵다.</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D9EAF7"/>
          </w:tcPr>
          <w:p>
            <w:pPr>
              <w:jc w:val="center"/>
            </w:pPr>
            <w:r/>
            <w:r>
              <w:rPr>
                <w:rFonts w:ascii="맑은 고딕" w:hAnsi="맑은 고딕" w:eastAsia="맑은 고딕"/>
                <w:b/>
                <w:sz w:val="18"/>
              </w:rPr>
              <w:t>공변량</w:t>
            </w:r>
          </w:p>
        </w:tc>
        <w:tc>
          <w:tcPr>
            <w:tcW w:type="dxa" w:w="1624"/>
            <w:vAlign w:val="center"/>
            <w:shd w:fill="D9EAF7"/>
          </w:tcPr>
          <w:p>
            <w:pPr>
              <w:jc w:val="center"/>
            </w:pPr>
            <w:r/>
            <w:r>
              <w:rPr>
                <w:rFonts w:ascii="맑은 고딕" w:hAnsi="맑은 고딕" w:eastAsia="맑은 고딕"/>
                <w:b/>
                <w:sz w:val="18"/>
              </w:rPr>
              <w:t>기본 LLM AP</w:t>
            </w:r>
          </w:p>
        </w:tc>
        <w:tc>
          <w:tcPr>
            <w:tcW w:type="dxa" w:w="1624"/>
            <w:vAlign w:val="center"/>
            <w:shd w:fill="D9EAF7"/>
          </w:tcPr>
          <w:p>
            <w:pPr>
              <w:jc w:val="center"/>
            </w:pPr>
            <w:r/>
            <w:r>
              <w:rPr>
                <w:rFonts w:ascii="맑은 고딕" w:hAnsi="맑은 고딕" w:eastAsia="맑은 고딕"/>
                <w:b/>
                <w:sz w:val="18"/>
              </w:rPr>
              <w:t>기본 키워드 AP</w:t>
            </w:r>
          </w:p>
        </w:tc>
        <w:tc>
          <w:tcPr>
            <w:tcW w:type="dxa" w:w="1624"/>
            <w:vAlign w:val="center"/>
            <w:shd w:fill="D9EAF7"/>
          </w:tcPr>
          <w:p>
            <w:pPr>
              <w:jc w:val="center"/>
            </w:pPr>
            <w:r/>
            <w:r>
              <w:rPr>
                <w:rFonts w:ascii="맑은 고딕" w:hAnsi="맑은 고딕" w:eastAsia="맑은 고딕"/>
                <w:b/>
                <w:sz w:val="18"/>
              </w:rPr>
              <w:t>엄격 LLM AP</w:t>
            </w:r>
          </w:p>
        </w:tc>
        <w:tc>
          <w:tcPr>
            <w:tcW w:type="dxa" w:w="1624"/>
            <w:vAlign w:val="center"/>
            <w:shd w:fill="D9EAF7"/>
          </w:tcPr>
          <w:p>
            <w:pPr>
              <w:jc w:val="center"/>
            </w:pPr>
            <w:r/>
            <w:r>
              <w:rPr>
                <w:rFonts w:ascii="맑은 고딕" w:hAnsi="맑은 고딕" w:eastAsia="맑은 고딕"/>
                <w:b/>
                <w:sz w:val="18"/>
              </w:rPr>
              <w:t>엄격 키워드 AP</w:t>
            </w:r>
          </w:p>
        </w:tc>
        <w:tc>
          <w:tcPr>
            <w:tcW w:type="dxa" w:w="1624"/>
            <w:vAlign w:val="center"/>
            <w:shd w:fill="D9EAF7"/>
          </w:tcPr>
          <w:p>
            <w:pPr>
              <w:jc w:val="center"/>
            </w:pPr>
            <w:r/>
            <w:r>
              <w:rPr>
                <w:rFonts w:ascii="맑은 고딕" w:hAnsi="맑은 고딕" w:eastAsia="맑은 고딕"/>
                <w:b/>
                <w:sz w:val="18"/>
              </w:rPr>
              <w:t>해석</w:t>
            </w:r>
          </w:p>
        </w:tc>
      </w:tr>
      <w:tr>
        <w:tc>
          <w:tcPr>
            <w:tcW w:type="dxa" w:w="1624"/>
            <w:vAlign w:val="center"/>
          </w:tcPr>
          <w:p>
            <w:pPr>
              <w:jc w:val="center"/>
            </w:pPr>
            <w:r/>
            <w:r>
              <w:rPr>
                <w:rFonts w:ascii="맑은 고딕" w:hAnsi="맑은 고딕" w:eastAsia="맑은 고딕"/>
                <w:b w:val="0"/>
                <w:sz w:val="18"/>
              </w:rPr>
              <w:t>차별 경험</w:t>
            </w:r>
          </w:p>
        </w:tc>
        <w:tc>
          <w:tcPr>
            <w:tcW w:type="dxa" w:w="1624"/>
            <w:vAlign w:val="center"/>
          </w:tcPr>
          <w:p>
            <w:pPr>
              <w:jc w:val="center"/>
            </w:pPr>
            <w:r/>
            <w:r>
              <w:rPr>
                <w:rFonts w:ascii="맑은 고딕" w:hAnsi="맑은 고딕" w:eastAsia="맑은 고딕"/>
                <w:b w:val="0"/>
                <w:sz w:val="18"/>
              </w:rPr>
              <w:t>.612</w:t>
            </w:r>
          </w:p>
        </w:tc>
        <w:tc>
          <w:tcPr>
            <w:tcW w:type="dxa" w:w="1624"/>
            <w:vAlign w:val="center"/>
          </w:tcPr>
          <w:p>
            <w:pPr>
              <w:jc w:val="center"/>
            </w:pPr>
            <w:r/>
            <w:r>
              <w:rPr>
                <w:rFonts w:ascii="맑은 고딕" w:hAnsi="맑은 고딕" w:eastAsia="맑은 고딕"/>
                <w:b w:val="0"/>
                <w:sz w:val="18"/>
              </w:rPr>
              <w:t>.699</w:t>
            </w:r>
          </w:p>
        </w:tc>
        <w:tc>
          <w:tcPr>
            <w:tcW w:type="dxa" w:w="1624"/>
            <w:vAlign w:val="center"/>
          </w:tcPr>
          <w:p>
            <w:pPr>
              <w:jc w:val="center"/>
            </w:pPr>
            <w:r/>
            <w:r>
              <w:rPr>
                <w:rFonts w:ascii="맑은 고딕" w:hAnsi="맑은 고딕" w:eastAsia="맑은 고딕"/>
                <w:b w:val="0"/>
                <w:sz w:val="18"/>
              </w:rPr>
              <w:t>.681</w:t>
            </w:r>
          </w:p>
        </w:tc>
        <w:tc>
          <w:tcPr>
            <w:tcW w:type="dxa" w:w="1624"/>
            <w:vAlign w:val="center"/>
          </w:tcPr>
          <w:p>
            <w:pPr>
              <w:jc w:val="center"/>
            </w:pPr>
            <w:r/>
            <w:r>
              <w:rPr>
                <w:rFonts w:ascii="맑은 고딕" w:hAnsi="맑은 고딕" w:eastAsia="맑은 고딕"/>
                <w:b w:val="0"/>
                <w:sz w:val="18"/>
              </w:rPr>
              <w:t>.699</w:t>
            </w:r>
          </w:p>
        </w:tc>
        <w:tc>
          <w:tcPr>
            <w:tcW w:type="dxa" w:w="1624"/>
            <w:vAlign w:val="center"/>
          </w:tcPr>
          <w:p>
            <w:pPr>
              <w:jc w:val="center"/>
            </w:pPr>
            <w:r/>
            <w:r>
              <w:rPr>
                <w:rFonts w:ascii="맑은 고딕" w:hAnsi="맑은 고딕" w:eastAsia="맑은 고딕"/>
                <w:b w:val="0"/>
                <w:sz w:val="18"/>
              </w:rPr>
              <w:t>엄격 지시문에서 개선, 키워드 기준에 근접</w:t>
            </w:r>
          </w:p>
        </w:tc>
      </w:tr>
      <w:tr>
        <w:tc>
          <w:tcPr>
            <w:tcW w:type="dxa" w:w="1624"/>
            <w:vAlign w:val="center"/>
          </w:tcPr>
          <w:p>
            <w:pPr>
              <w:jc w:val="center"/>
            </w:pPr>
            <w:r/>
            <w:r>
              <w:rPr>
                <w:rFonts w:ascii="맑은 고딕" w:hAnsi="맑은 고딕" w:eastAsia="맑은 고딕"/>
                <w:b w:val="0"/>
                <w:sz w:val="18"/>
              </w:rPr>
              <w:t>한국어 능력</w:t>
            </w:r>
          </w:p>
        </w:tc>
        <w:tc>
          <w:tcPr>
            <w:tcW w:type="dxa" w:w="1624"/>
            <w:vAlign w:val="center"/>
          </w:tcPr>
          <w:p>
            <w:pPr>
              <w:jc w:val="center"/>
            </w:pPr>
            <w:r/>
            <w:r>
              <w:rPr>
                <w:rFonts w:ascii="맑은 고딕" w:hAnsi="맑은 고딕" w:eastAsia="맑은 고딕"/>
                <w:b w:val="0"/>
                <w:sz w:val="18"/>
              </w:rPr>
              <w:t>.373</w:t>
            </w:r>
          </w:p>
        </w:tc>
        <w:tc>
          <w:tcPr>
            <w:tcW w:type="dxa" w:w="1624"/>
            <w:vAlign w:val="center"/>
          </w:tcPr>
          <w:p>
            <w:pPr>
              <w:jc w:val="center"/>
            </w:pPr>
            <w:r/>
            <w:r>
              <w:rPr>
                <w:rFonts w:ascii="맑은 고딕" w:hAnsi="맑은 고딕" w:eastAsia="맑은 고딕"/>
                <w:b w:val="0"/>
                <w:sz w:val="18"/>
              </w:rPr>
              <w:t>.575</w:t>
            </w:r>
          </w:p>
        </w:tc>
        <w:tc>
          <w:tcPr>
            <w:tcW w:type="dxa" w:w="1624"/>
            <w:vAlign w:val="center"/>
          </w:tcPr>
          <w:p>
            <w:pPr>
              <w:jc w:val="center"/>
            </w:pPr>
            <w:r/>
            <w:r>
              <w:rPr>
                <w:rFonts w:ascii="맑은 고딕" w:hAnsi="맑은 고딕" w:eastAsia="맑은 고딕"/>
                <w:b w:val="0"/>
                <w:sz w:val="18"/>
              </w:rPr>
              <w:t>.396</w:t>
            </w:r>
          </w:p>
        </w:tc>
        <w:tc>
          <w:tcPr>
            <w:tcW w:type="dxa" w:w="1624"/>
            <w:vAlign w:val="center"/>
          </w:tcPr>
          <w:p>
            <w:pPr>
              <w:jc w:val="center"/>
            </w:pPr>
            <w:r/>
            <w:r>
              <w:rPr>
                <w:rFonts w:ascii="맑은 고딕" w:hAnsi="맑은 고딕" w:eastAsia="맑은 고딕"/>
                <w:b w:val="0"/>
                <w:sz w:val="18"/>
              </w:rPr>
              <w:t>.575</w:t>
            </w:r>
          </w:p>
        </w:tc>
        <w:tc>
          <w:tcPr>
            <w:tcW w:type="dxa" w:w="1624"/>
            <w:vAlign w:val="center"/>
          </w:tcPr>
          <w:p>
            <w:pPr>
              <w:jc w:val="center"/>
            </w:pPr>
            <w:r/>
            <w:r>
              <w:rPr>
                <w:rFonts w:ascii="맑은 고딕" w:hAnsi="맑은 고딕" w:eastAsia="맑은 고딕"/>
                <w:b w:val="0"/>
                <w:sz w:val="18"/>
              </w:rPr>
              <w:t>LLM이 키워드 기준보다 낮음</w:t>
            </w:r>
          </w:p>
        </w:tc>
      </w:tr>
      <w:tr>
        <w:tc>
          <w:tcPr>
            <w:tcW w:type="dxa" w:w="1624"/>
            <w:vAlign w:val="center"/>
          </w:tcPr>
          <w:p>
            <w:pPr>
              <w:jc w:val="center"/>
            </w:pPr>
            <w:r/>
            <w:r>
              <w:rPr>
                <w:rFonts w:ascii="맑은 고딕" w:hAnsi="맑은 고딕" w:eastAsia="맑은 고딕"/>
                <w:b w:val="0"/>
                <w:sz w:val="18"/>
              </w:rPr>
              <w:t>성별</w:t>
            </w:r>
          </w:p>
        </w:tc>
        <w:tc>
          <w:tcPr>
            <w:tcW w:type="dxa" w:w="1624"/>
            <w:vAlign w:val="center"/>
          </w:tcPr>
          <w:p>
            <w:pPr>
              <w:jc w:val="center"/>
            </w:pPr>
            <w:r/>
            <w:r>
              <w:rPr>
                <w:rFonts w:ascii="맑은 고딕" w:hAnsi="맑은 고딕" w:eastAsia="맑은 고딕"/>
                <w:b w:val="0"/>
                <w:sz w:val="18"/>
              </w:rPr>
              <w:t>.340</w:t>
            </w:r>
          </w:p>
        </w:tc>
        <w:tc>
          <w:tcPr>
            <w:tcW w:type="dxa" w:w="1624"/>
            <w:vAlign w:val="center"/>
          </w:tcPr>
          <w:p>
            <w:pPr>
              <w:jc w:val="center"/>
            </w:pPr>
            <w:r/>
            <w:r>
              <w:rPr>
                <w:rFonts w:ascii="맑은 고딕" w:hAnsi="맑은 고딕" w:eastAsia="맑은 고딕"/>
                <w:b w:val="0"/>
                <w:sz w:val="18"/>
              </w:rPr>
              <w:t>.282</w:t>
            </w:r>
          </w:p>
        </w:tc>
        <w:tc>
          <w:tcPr>
            <w:tcW w:type="dxa" w:w="1624"/>
            <w:vAlign w:val="center"/>
          </w:tcPr>
          <w:p>
            <w:pPr>
              <w:jc w:val="center"/>
            </w:pPr>
            <w:r/>
            <w:r>
              <w:rPr>
                <w:rFonts w:ascii="맑은 고딕" w:hAnsi="맑은 고딕" w:eastAsia="맑은 고딕"/>
                <w:b w:val="0"/>
                <w:sz w:val="18"/>
              </w:rPr>
              <w:t>.305</w:t>
            </w:r>
          </w:p>
        </w:tc>
        <w:tc>
          <w:tcPr>
            <w:tcW w:type="dxa" w:w="1624"/>
            <w:vAlign w:val="center"/>
          </w:tcPr>
          <w:p>
            <w:pPr>
              <w:jc w:val="center"/>
            </w:pPr>
            <w:r/>
            <w:r>
              <w:rPr>
                <w:rFonts w:ascii="맑은 고딕" w:hAnsi="맑은 고딕" w:eastAsia="맑은 고딕"/>
                <w:b w:val="0"/>
                <w:sz w:val="18"/>
              </w:rPr>
              <w:t>.282</w:t>
            </w:r>
          </w:p>
        </w:tc>
        <w:tc>
          <w:tcPr>
            <w:tcW w:type="dxa" w:w="1624"/>
            <w:vAlign w:val="center"/>
          </w:tcPr>
          <w:p>
            <w:pPr>
              <w:jc w:val="center"/>
            </w:pPr>
            <w:r/>
            <w:r>
              <w:rPr>
                <w:rFonts w:ascii="맑은 고딕" w:hAnsi="맑은 고딕" w:eastAsia="맑은 고딕"/>
                <w:b w:val="0"/>
                <w:sz w:val="18"/>
              </w:rPr>
              <w:t>LLM이 높지만 엄격 지시문에서 감소</w:t>
            </w:r>
          </w:p>
        </w:tc>
      </w:tr>
      <w:tr>
        <w:tc>
          <w:tcPr>
            <w:tcW w:type="dxa" w:w="1624"/>
            <w:vAlign w:val="center"/>
          </w:tcPr>
          <w:p>
            <w:pPr>
              <w:jc w:val="center"/>
            </w:pPr>
            <w:r/>
            <w:r>
              <w:rPr>
                <w:rFonts w:ascii="맑은 고딕" w:hAnsi="맑은 고딕" w:eastAsia="맑은 고딕"/>
                <w:b w:val="0"/>
                <w:sz w:val="18"/>
              </w:rPr>
              <w:t>연령</w:t>
            </w:r>
          </w:p>
        </w:tc>
        <w:tc>
          <w:tcPr>
            <w:tcW w:type="dxa" w:w="1624"/>
            <w:vAlign w:val="center"/>
          </w:tcPr>
          <w:p>
            <w:pPr>
              <w:jc w:val="center"/>
            </w:pPr>
            <w:r/>
            <w:r>
              <w:rPr>
                <w:rFonts w:ascii="맑은 고딕" w:hAnsi="맑은 고딕" w:eastAsia="맑은 고딕"/>
                <w:b w:val="0"/>
                <w:sz w:val="18"/>
              </w:rPr>
              <w:t>.226</w:t>
            </w:r>
          </w:p>
        </w:tc>
        <w:tc>
          <w:tcPr>
            <w:tcW w:type="dxa" w:w="1624"/>
            <w:vAlign w:val="center"/>
          </w:tcPr>
          <w:p>
            <w:pPr>
              <w:jc w:val="center"/>
            </w:pPr>
            <w:r/>
            <w:r>
              <w:rPr>
                <w:rFonts w:ascii="맑은 고딕" w:hAnsi="맑은 고딕" w:eastAsia="맑은 고딕"/>
                <w:b w:val="0"/>
                <w:sz w:val="18"/>
              </w:rPr>
              <w:t>.245</w:t>
            </w:r>
          </w:p>
        </w:tc>
        <w:tc>
          <w:tcPr>
            <w:tcW w:type="dxa" w:w="1624"/>
            <w:vAlign w:val="center"/>
          </w:tcPr>
          <w:p>
            <w:pPr>
              <w:jc w:val="center"/>
            </w:pPr>
            <w:r/>
            <w:r>
              <w:rPr>
                <w:rFonts w:ascii="맑은 고딕" w:hAnsi="맑은 고딕" w:eastAsia="맑은 고딕"/>
                <w:b w:val="0"/>
                <w:sz w:val="18"/>
              </w:rPr>
              <w:t>.253</w:t>
            </w:r>
          </w:p>
        </w:tc>
        <w:tc>
          <w:tcPr>
            <w:tcW w:type="dxa" w:w="1624"/>
            <w:vAlign w:val="center"/>
          </w:tcPr>
          <w:p>
            <w:pPr>
              <w:jc w:val="center"/>
            </w:pPr>
            <w:r/>
            <w:r>
              <w:rPr>
                <w:rFonts w:ascii="맑은 고딕" w:hAnsi="맑은 고딕" w:eastAsia="맑은 고딕"/>
                <w:b w:val="0"/>
                <w:sz w:val="18"/>
              </w:rPr>
              <w:t>.252</w:t>
            </w:r>
          </w:p>
        </w:tc>
        <w:tc>
          <w:tcPr>
            <w:tcW w:type="dxa" w:w="1624"/>
            <w:vAlign w:val="center"/>
          </w:tcPr>
          <w:p>
            <w:pPr>
              <w:jc w:val="center"/>
            </w:pPr>
            <w:r/>
            <w:r>
              <w:rPr>
                <w:rFonts w:ascii="맑은 고딕" w:hAnsi="맑은 고딕" w:eastAsia="맑은 고딕"/>
                <w:b w:val="0"/>
                <w:sz w:val="18"/>
              </w:rPr>
              <w:t>엄격 지시문에서 키워드 기준과 유사</w:t>
            </w:r>
          </w:p>
        </w:tc>
      </w:tr>
      <w:tr>
        <w:tc>
          <w:tcPr>
            <w:tcW w:type="dxa" w:w="1624"/>
            <w:vAlign w:val="center"/>
          </w:tcPr>
          <w:p>
            <w:pPr>
              <w:jc w:val="center"/>
            </w:pPr>
            <w:r/>
            <w:r>
              <w:rPr>
                <w:rFonts w:ascii="맑은 고딕" w:hAnsi="맑은 고딕" w:eastAsia="맑은 고딕"/>
                <w:b w:val="0"/>
                <w:sz w:val="18"/>
              </w:rPr>
              <w:t>가구소득</w:t>
            </w:r>
          </w:p>
        </w:tc>
        <w:tc>
          <w:tcPr>
            <w:tcW w:type="dxa" w:w="1624"/>
            <w:vAlign w:val="center"/>
          </w:tcPr>
          <w:p>
            <w:pPr>
              <w:jc w:val="center"/>
            </w:pPr>
            <w:r/>
            <w:r>
              <w:rPr>
                <w:rFonts w:ascii="맑은 고딕" w:hAnsi="맑은 고딕" w:eastAsia="맑은 고딕"/>
                <w:b w:val="0"/>
                <w:sz w:val="18"/>
              </w:rPr>
              <w:t>.024</w:t>
            </w:r>
          </w:p>
        </w:tc>
        <w:tc>
          <w:tcPr>
            <w:tcW w:type="dxa" w:w="1624"/>
            <w:vAlign w:val="center"/>
          </w:tcPr>
          <w:p>
            <w:pPr>
              <w:jc w:val="center"/>
            </w:pPr>
            <w:r/>
            <w:r>
              <w:rPr>
                <w:rFonts w:ascii="맑은 고딕" w:hAnsi="맑은 고딕" w:eastAsia="맑은 고딕"/>
                <w:b w:val="0"/>
                <w:sz w:val="18"/>
              </w:rPr>
              <w:t>.135</w:t>
            </w:r>
          </w:p>
        </w:tc>
        <w:tc>
          <w:tcPr>
            <w:tcW w:type="dxa" w:w="1624"/>
            <w:vAlign w:val="center"/>
          </w:tcPr>
          <w:p>
            <w:pPr>
              <w:jc w:val="center"/>
            </w:pPr>
            <w:r/>
            <w:r>
              <w:rPr>
                <w:rFonts w:ascii="맑은 고딕" w:hAnsi="맑은 고딕" w:eastAsia="맑은 고딕"/>
                <w:b w:val="0"/>
                <w:sz w:val="18"/>
              </w:rPr>
              <w:t>.032</w:t>
            </w:r>
          </w:p>
        </w:tc>
        <w:tc>
          <w:tcPr>
            <w:tcW w:type="dxa" w:w="1624"/>
            <w:vAlign w:val="center"/>
          </w:tcPr>
          <w:p>
            <w:pPr>
              <w:jc w:val="center"/>
            </w:pPr>
            <w:r/>
            <w:r>
              <w:rPr>
                <w:rFonts w:ascii="맑은 고딕" w:hAnsi="맑은 고딕" w:eastAsia="맑은 고딕"/>
                <w:b w:val="0"/>
                <w:sz w:val="18"/>
              </w:rPr>
              <w:t>.135</w:t>
            </w:r>
          </w:p>
        </w:tc>
        <w:tc>
          <w:tcPr>
            <w:tcW w:type="dxa" w:w="1624"/>
            <w:vAlign w:val="center"/>
          </w:tcPr>
          <w:p>
            <w:pPr>
              <w:jc w:val="center"/>
            </w:pPr>
            <w:r/>
            <w:r>
              <w:rPr>
                <w:rFonts w:ascii="맑은 고딕" w:hAnsi="맑은 고딕" w:eastAsia="맑은 고딕"/>
                <w:b w:val="0"/>
                <w:sz w:val="18"/>
              </w:rPr>
              <w:t>경험 후보 수가 적어 해석 제한</w:t>
            </w:r>
          </w:p>
        </w:tc>
      </w:tr>
    </w:tbl>
    <w:p/>
    <w:p>
      <w:pPr>
        <w:pStyle w:val="Heading2"/>
      </w:pPr>
      <w:r>
        <w:rPr>
          <w:rFonts w:ascii="맑은 고딕" w:hAnsi="맑은 고딕" w:eastAsia="맑은 고딕"/>
          <w:sz w:val="24"/>
        </w:rPr>
        <w:t>지시문 민감도</w:t>
      </w:r>
    </w:p>
    <w:p>
      <w:pPr>
        <w:spacing w:line="348" w:lineRule="auto" w:after="60"/>
        <w:ind w:firstLine="425"/>
      </w:pPr>
      <w:r>
        <w:rPr>
          <w:rFonts w:ascii="맑은 고딕" w:hAnsi="맑은 고딕" w:eastAsia="맑은 고딕"/>
          <w:sz w:val="21"/>
        </w:rPr>
        <w:t>기본 지시문과 엄격한 DIF 구분 지시문 사이의 점수 순위는 중간 정도의 관련성을 보였다. 두 조건의 공통 문항-공변량 조합 481개에서 Spearman 순위상관은 .571이었다. 그러나 상위 후보 목록은 크게 달랐다. top-5와 top-10 후보의 overlap은 모두 0이었고, top-20 overlap도 .150에 그쳤다.</w:t>
      </w:r>
    </w:p>
    <w:p>
      <w:pPr>
        <w:spacing w:line="348" w:lineRule="auto" w:after="60"/>
        <w:ind w:firstLine="425"/>
      </w:pPr>
      <w:r>
        <w:rPr>
          <w:rFonts w:ascii="맑은 고딕" w:hAnsi="맑은 고딕" w:eastAsia="맑은 고딕"/>
          <w:sz w:val="21"/>
        </w:rPr>
        <w:t>이 결과는 LLM 기반 DIF 후보 생성이 지시문 조건에 민감하다는 점을 보여준다. 같은 문항과 공변량을 사용하더라도, 지시문이 달라지면 상위 후보 목록이 크게 바뀌었다. 따라서 단일 지시문에서 나온 LLM 점수를 안정적인 후보 목록으로 간주하기 어렵다.</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jc w:val="center"/>
            </w:pPr>
            <w:r/>
            <w:r>
              <w:rPr>
                <w:rFonts w:ascii="맑은 고딕" w:hAnsi="맑은 고딕" w:eastAsia="맑은 고딕"/>
                <w:b/>
                <w:sz w:val="18"/>
              </w:rPr>
              <w:t>비교</w:t>
            </w:r>
          </w:p>
        </w:tc>
        <w:tc>
          <w:tcPr>
            <w:tcW w:type="dxa" w:w="2436"/>
            <w:vAlign w:val="center"/>
            <w:shd w:fill="D9EAF7"/>
          </w:tcPr>
          <w:p>
            <w:pPr>
              <w:jc w:val="center"/>
            </w:pPr>
            <w:r/>
            <w:r>
              <w:rPr>
                <w:rFonts w:ascii="맑은 고딕" w:hAnsi="맑은 고딕" w:eastAsia="맑은 고딕"/>
                <w:b/>
                <w:sz w:val="18"/>
              </w:rPr>
              <w:t>공통 조합 수</w:t>
            </w:r>
          </w:p>
        </w:tc>
        <w:tc>
          <w:tcPr>
            <w:tcW w:type="dxa" w:w="2436"/>
            <w:vAlign w:val="center"/>
            <w:shd w:fill="D9EAF7"/>
          </w:tcPr>
          <w:p>
            <w:pPr>
              <w:jc w:val="center"/>
            </w:pPr>
            <w:r/>
            <w:r>
              <w:rPr>
                <w:rFonts w:ascii="맑은 고딕" w:hAnsi="맑은 고딕" w:eastAsia="맑은 고딕"/>
                <w:b/>
                <w:sz w:val="18"/>
              </w:rPr>
              <w:t>지표</w:t>
            </w:r>
          </w:p>
        </w:tc>
        <w:tc>
          <w:tcPr>
            <w:tcW w:type="dxa" w:w="2436"/>
            <w:vAlign w:val="center"/>
            <w:shd w:fill="D9EAF7"/>
          </w:tcPr>
          <w:p>
            <w:pPr>
              <w:jc w:val="center"/>
            </w:pPr>
            <w:r/>
            <w:r>
              <w:rPr>
                <w:rFonts w:ascii="맑은 고딕" w:hAnsi="맑은 고딕" w:eastAsia="맑은 고딕"/>
                <w:b/>
                <w:sz w:val="18"/>
              </w:rPr>
              <w:t>값</w:t>
            </w:r>
          </w:p>
        </w:tc>
      </w:tr>
      <w:tr>
        <w:tc>
          <w:tcPr>
            <w:tcW w:type="dxa" w:w="2436"/>
            <w:vAlign w:val="center"/>
          </w:tcPr>
          <w:p>
            <w:pPr>
              <w:jc w:val="center"/>
            </w:pPr>
            <w:r/>
            <w:r>
              <w:rPr>
                <w:rFonts w:ascii="맑은 고딕" w:hAnsi="맑은 고딕" w:eastAsia="맑은 고딕"/>
                <w:b w:val="0"/>
                <w:sz w:val="18"/>
              </w:rPr>
              <w:t>기본 지시문 vs 엄격한 DIF 구분 지시문</w:t>
            </w:r>
          </w:p>
        </w:tc>
        <w:tc>
          <w:tcPr>
            <w:tcW w:type="dxa" w:w="2436"/>
            <w:vAlign w:val="center"/>
          </w:tcPr>
          <w:p>
            <w:pPr>
              <w:jc w:val="center"/>
            </w:pPr>
            <w:r/>
            <w:r>
              <w:rPr>
                <w:rFonts w:ascii="맑은 고딕" w:hAnsi="맑은 고딕" w:eastAsia="맑은 고딕"/>
                <w:b w:val="0"/>
                <w:sz w:val="18"/>
              </w:rPr>
              <w:t>481</w:t>
            </w:r>
          </w:p>
        </w:tc>
        <w:tc>
          <w:tcPr>
            <w:tcW w:type="dxa" w:w="2436"/>
            <w:vAlign w:val="center"/>
          </w:tcPr>
          <w:p>
            <w:pPr>
              <w:jc w:val="center"/>
            </w:pPr>
            <w:r/>
            <w:r>
              <w:rPr>
                <w:rFonts w:ascii="맑은 고딕" w:hAnsi="맑은 고딕" w:eastAsia="맑은 고딕"/>
                <w:b w:val="0"/>
                <w:sz w:val="18"/>
              </w:rPr>
              <w:t>Spearman 순위상관</w:t>
            </w:r>
          </w:p>
        </w:tc>
        <w:tc>
          <w:tcPr>
            <w:tcW w:type="dxa" w:w="2436"/>
            <w:vAlign w:val="center"/>
          </w:tcPr>
          <w:p>
            <w:pPr>
              <w:jc w:val="center"/>
            </w:pPr>
            <w:r/>
            <w:r>
              <w:rPr>
                <w:rFonts w:ascii="맑은 고딕" w:hAnsi="맑은 고딕" w:eastAsia="맑은 고딕"/>
                <w:b w:val="0"/>
                <w:sz w:val="18"/>
              </w:rPr>
              <w:t>.571</w:t>
            </w:r>
          </w:p>
        </w:tc>
      </w:tr>
      <w:tr>
        <w:tc>
          <w:tcPr>
            <w:tcW w:type="dxa" w:w="2436"/>
            <w:vAlign w:val="center"/>
          </w:tcPr>
          <w:p>
            <w:pPr>
              <w:jc w:val="center"/>
            </w:pPr>
            <w:r/>
            <w:r>
              <w:rPr>
                <w:rFonts w:ascii="맑은 고딕" w:hAnsi="맑은 고딕" w:eastAsia="맑은 고딕"/>
                <w:b w:val="0"/>
                <w:sz w:val="18"/>
              </w:rPr>
              <w:t>기본 지시문 vs 엄격한 DIF 구분 지시문</w:t>
            </w:r>
          </w:p>
        </w:tc>
        <w:tc>
          <w:tcPr>
            <w:tcW w:type="dxa" w:w="2436"/>
            <w:vAlign w:val="center"/>
          </w:tcPr>
          <w:p>
            <w:pPr>
              <w:jc w:val="center"/>
            </w:pPr>
            <w:r/>
            <w:r>
              <w:rPr>
                <w:rFonts w:ascii="맑은 고딕" w:hAnsi="맑은 고딕" w:eastAsia="맑은 고딕"/>
                <w:b w:val="0"/>
                <w:sz w:val="18"/>
              </w:rPr>
              <w:t>481</w:t>
            </w:r>
          </w:p>
        </w:tc>
        <w:tc>
          <w:tcPr>
            <w:tcW w:type="dxa" w:w="2436"/>
            <w:vAlign w:val="center"/>
          </w:tcPr>
          <w:p>
            <w:pPr>
              <w:jc w:val="center"/>
            </w:pPr>
            <w:r/>
            <w:r>
              <w:rPr>
                <w:rFonts w:ascii="맑은 고딕" w:hAnsi="맑은 고딕" w:eastAsia="맑은 고딕"/>
                <w:b w:val="0"/>
                <w:sz w:val="18"/>
              </w:rPr>
              <w:t>top-5 overlap</w:t>
            </w:r>
          </w:p>
        </w:tc>
        <w:tc>
          <w:tcPr>
            <w:tcW w:type="dxa" w:w="2436"/>
            <w:vAlign w:val="center"/>
          </w:tcPr>
          <w:p>
            <w:pPr>
              <w:jc w:val="center"/>
            </w:pPr>
            <w:r/>
            <w:r>
              <w:rPr>
                <w:rFonts w:ascii="맑은 고딕" w:hAnsi="맑은 고딕" w:eastAsia="맑은 고딕"/>
                <w:b w:val="0"/>
                <w:sz w:val="18"/>
              </w:rPr>
              <w:t>.000</w:t>
            </w:r>
          </w:p>
        </w:tc>
      </w:tr>
      <w:tr>
        <w:tc>
          <w:tcPr>
            <w:tcW w:type="dxa" w:w="2436"/>
            <w:vAlign w:val="center"/>
          </w:tcPr>
          <w:p>
            <w:pPr>
              <w:jc w:val="center"/>
            </w:pPr>
            <w:r/>
            <w:r>
              <w:rPr>
                <w:rFonts w:ascii="맑은 고딕" w:hAnsi="맑은 고딕" w:eastAsia="맑은 고딕"/>
                <w:b w:val="0"/>
                <w:sz w:val="18"/>
              </w:rPr>
              <w:t>기본 지시문 vs 엄격한 DIF 구분 지시문</w:t>
            </w:r>
          </w:p>
        </w:tc>
        <w:tc>
          <w:tcPr>
            <w:tcW w:type="dxa" w:w="2436"/>
            <w:vAlign w:val="center"/>
          </w:tcPr>
          <w:p>
            <w:pPr>
              <w:jc w:val="center"/>
            </w:pPr>
            <w:r/>
            <w:r>
              <w:rPr>
                <w:rFonts w:ascii="맑은 고딕" w:hAnsi="맑은 고딕" w:eastAsia="맑은 고딕"/>
                <w:b w:val="0"/>
                <w:sz w:val="18"/>
              </w:rPr>
              <w:t>481</w:t>
            </w:r>
          </w:p>
        </w:tc>
        <w:tc>
          <w:tcPr>
            <w:tcW w:type="dxa" w:w="2436"/>
            <w:vAlign w:val="center"/>
          </w:tcPr>
          <w:p>
            <w:pPr>
              <w:jc w:val="center"/>
            </w:pPr>
            <w:r/>
            <w:r>
              <w:rPr>
                <w:rFonts w:ascii="맑은 고딕" w:hAnsi="맑은 고딕" w:eastAsia="맑은 고딕"/>
                <w:b w:val="0"/>
                <w:sz w:val="18"/>
              </w:rPr>
              <w:t>top-10 overlap</w:t>
            </w:r>
          </w:p>
        </w:tc>
        <w:tc>
          <w:tcPr>
            <w:tcW w:type="dxa" w:w="2436"/>
            <w:vAlign w:val="center"/>
          </w:tcPr>
          <w:p>
            <w:pPr>
              <w:jc w:val="center"/>
            </w:pPr>
            <w:r/>
            <w:r>
              <w:rPr>
                <w:rFonts w:ascii="맑은 고딕" w:hAnsi="맑은 고딕" w:eastAsia="맑은 고딕"/>
                <w:b w:val="0"/>
                <w:sz w:val="18"/>
              </w:rPr>
              <w:t>.000</w:t>
            </w:r>
          </w:p>
        </w:tc>
      </w:tr>
      <w:tr>
        <w:tc>
          <w:tcPr>
            <w:tcW w:type="dxa" w:w="2436"/>
            <w:vAlign w:val="center"/>
          </w:tcPr>
          <w:p>
            <w:pPr>
              <w:jc w:val="center"/>
            </w:pPr>
            <w:r/>
            <w:r>
              <w:rPr>
                <w:rFonts w:ascii="맑은 고딕" w:hAnsi="맑은 고딕" w:eastAsia="맑은 고딕"/>
                <w:b w:val="0"/>
                <w:sz w:val="18"/>
              </w:rPr>
              <w:t>기본 지시문 vs 엄격한 DIF 구분 지시문</w:t>
            </w:r>
          </w:p>
        </w:tc>
        <w:tc>
          <w:tcPr>
            <w:tcW w:type="dxa" w:w="2436"/>
            <w:vAlign w:val="center"/>
          </w:tcPr>
          <w:p>
            <w:pPr>
              <w:jc w:val="center"/>
            </w:pPr>
            <w:r/>
            <w:r>
              <w:rPr>
                <w:rFonts w:ascii="맑은 고딕" w:hAnsi="맑은 고딕" w:eastAsia="맑은 고딕"/>
                <w:b w:val="0"/>
                <w:sz w:val="18"/>
              </w:rPr>
              <w:t>481</w:t>
            </w:r>
          </w:p>
        </w:tc>
        <w:tc>
          <w:tcPr>
            <w:tcW w:type="dxa" w:w="2436"/>
            <w:vAlign w:val="center"/>
          </w:tcPr>
          <w:p>
            <w:pPr>
              <w:jc w:val="center"/>
            </w:pPr>
            <w:r/>
            <w:r>
              <w:rPr>
                <w:rFonts w:ascii="맑은 고딕" w:hAnsi="맑은 고딕" w:eastAsia="맑은 고딕"/>
                <w:b w:val="0"/>
                <w:sz w:val="18"/>
              </w:rPr>
              <w:t>top-20 overlap</w:t>
            </w:r>
          </w:p>
        </w:tc>
        <w:tc>
          <w:tcPr>
            <w:tcW w:type="dxa" w:w="2436"/>
            <w:vAlign w:val="center"/>
          </w:tcPr>
          <w:p>
            <w:pPr>
              <w:jc w:val="center"/>
            </w:pPr>
            <w:r/>
            <w:r>
              <w:rPr>
                <w:rFonts w:ascii="맑은 고딕" w:hAnsi="맑은 고딕" w:eastAsia="맑은 고딕"/>
                <w:b w:val="0"/>
                <w:sz w:val="18"/>
              </w:rPr>
              <w:t>.150</w:t>
            </w:r>
          </w:p>
        </w:tc>
      </w:tr>
    </w:tbl>
    <w:p/>
    <w:p>
      <w:pPr>
        <w:pStyle w:val="Heading2"/>
      </w:pPr>
      <w:r>
        <w:rPr>
          <w:rFonts w:ascii="맑은 고딕" w:hAnsi="맑은 고딕" w:eastAsia="맑은 고딕"/>
          <w:sz w:val="24"/>
        </w:rPr>
        <w:t>판단 근거 코딩 결과</w:t>
      </w:r>
    </w:p>
    <w:p>
      <w:pPr>
        <w:spacing w:line="348" w:lineRule="auto" w:after="60"/>
        <w:ind w:firstLine="425"/>
      </w:pPr>
      <w:r>
        <w:rPr>
          <w:rFonts w:ascii="맑은 고딕" w:hAnsi="맑은 고딕" w:eastAsia="맑은 고딕"/>
          <w:sz w:val="21"/>
        </w:rPr>
        <w:t>LLM 판단 근거에 대한 자동 코딩 결과, 엄격한 DIF 구분 지시문은 일부 지표를 개선하였다. 응답 과정 관련 근거는 기본 지시문 조건에서 89.5%였고, 엄격한 DIF 구분 지시문 조건에서 94.8%로 증가하였다. 검증 가능한 가설 표현도 68.9%에서 71.8%로 증가하였다. 반대로 같은 잠재특성 수준 조건을 명시하지 않는 판단 근거는 39.9%에서 30.5%로 감소하였다. 모호한 일반론도 28.2%에서 24.1%로 줄었다.</w:t>
      </w:r>
    </w:p>
    <w:p>
      <w:pPr>
        <w:spacing w:line="348" w:lineRule="auto" w:after="60"/>
        <w:ind w:firstLine="425"/>
      </w:pPr>
      <w:r>
        <w:rPr>
          <w:rFonts w:ascii="맑은 고딕" w:hAnsi="맑은 고딕" w:eastAsia="맑은 고딕"/>
          <w:sz w:val="21"/>
        </w:rPr>
        <w:t>그러나 엄격한 지시문이 모든 문제를 줄인 것은 아니다. 성별·연령 고정관념 가능성으로 분류된 판단 근거는 기본 지시문 조건에서 16.9%, 엄격한 DIF 구분 지시문 조건에서 19.7%로 증가하였다. 실제 잠재특성 차이를 DIF로 오인할 가능성으로 자동 분류된 사례는 두 조건 모두 낮은 비율이었지만, 엄격한 지시문 조건에서 0.6%에서 1.9%로 증가하였다. 이 비율은 자동 규칙에 따른 보수적 분류이므로 실제 혼동 사례 전체를 포착한다고 보기는 어렵다.</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jc w:val="center"/>
            </w:pPr>
            <w:r/>
            <w:r>
              <w:rPr>
                <w:rFonts w:ascii="맑은 고딕" w:hAnsi="맑은 고딕" w:eastAsia="맑은 고딕"/>
                <w:b/>
                <w:sz w:val="18"/>
              </w:rPr>
              <w:t>코딩 범주</w:t>
            </w:r>
          </w:p>
        </w:tc>
        <w:tc>
          <w:tcPr>
            <w:tcW w:type="dxa" w:w="3249"/>
            <w:vAlign w:val="center"/>
            <w:shd w:fill="D9EAF7"/>
          </w:tcPr>
          <w:p>
            <w:pPr>
              <w:jc w:val="center"/>
            </w:pPr>
            <w:r/>
            <w:r>
              <w:rPr>
                <w:rFonts w:ascii="맑은 고딕" w:hAnsi="맑은 고딕" w:eastAsia="맑은 고딕"/>
                <w:b/>
                <w:sz w:val="18"/>
              </w:rPr>
              <w:t>기본 지시문</w:t>
            </w:r>
          </w:p>
        </w:tc>
        <w:tc>
          <w:tcPr>
            <w:tcW w:type="dxa" w:w="3249"/>
            <w:vAlign w:val="center"/>
            <w:shd w:fill="D9EAF7"/>
          </w:tcPr>
          <w:p>
            <w:pPr>
              <w:jc w:val="center"/>
            </w:pPr>
            <w:r/>
            <w:r>
              <w:rPr>
                <w:rFonts w:ascii="맑은 고딕" w:hAnsi="맑은 고딕" w:eastAsia="맑은 고딕"/>
                <w:b/>
                <w:sz w:val="18"/>
              </w:rPr>
              <w:t>엄격한 DIF 구분 지시문</w:t>
            </w:r>
          </w:p>
        </w:tc>
      </w:tr>
      <w:tr>
        <w:tc>
          <w:tcPr>
            <w:tcW w:type="dxa" w:w="3249"/>
            <w:vAlign w:val="center"/>
          </w:tcPr>
          <w:p>
            <w:pPr>
              <w:jc w:val="center"/>
            </w:pPr>
            <w:r/>
            <w:r>
              <w:rPr>
                <w:rFonts w:ascii="맑은 고딕" w:hAnsi="맑은 고딕" w:eastAsia="맑은 고딕"/>
                <w:b w:val="0"/>
                <w:sz w:val="18"/>
              </w:rPr>
              <w:t>응답 과정 근거</w:t>
            </w:r>
          </w:p>
        </w:tc>
        <w:tc>
          <w:tcPr>
            <w:tcW w:type="dxa" w:w="3249"/>
            <w:vAlign w:val="center"/>
          </w:tcPr>
          <w:p>
            <w:pPr>
              <w:jc w:val="center"/>
            </w:pPr>
            <w:r/>
            <w:r>
              <w:rPr>
                <w:rFonts w:ascii="맑은 고딕" w:hAnsi="맑은 고딕" w:eastAsia="맑은 고딕"/>
                <w:b w:val="0"/>
                <w:sz w:val="18"/>
              </w:rPr>
              <w:t>89.5%</w:t>
            </w:r>
          </w:p>
        </w:tc>
        <w:tc>
          <w:tcPr>
            <w:tcW w:type="dxa" w:w="3249"/>
            <w:vAlign w:val="center"/>
          </w:tcPr>
          <w:p>
            <w:pPr>
              <w:jc w:val="center"/>
            </w:pPr>
            <w:r/>
            <w:r>
              <w:rPr>
                <w:rFonts w:ascii="맑은 고딕" w:hAnsi="맑은 고딕" w:eastAsia="맑은 고딕"/>
                <w:b w:val="0"/>
                <w:sz w:val="18"/>
              </w:rPr>
              <w:t>94.8%</w:t>
            </w:r>
          </w:p>
        </w:tc>
      </w:tr>
      <w:tr>
        <w:tc>
          <w:tcPr>
            <w:tcW w:type="dxa" w:w="3249"/>
            <w:vAlign w:val="center"/>
          </w:tcPr>
          <w:p>
            <w:pPr>
              <w:jc w:val="center"/>
            </w:pPr>
            <w:r/>
            <w:r>
              <w:rPr>
                <w:rFonts w:ascii="맑은 고딕" w:hAnsi="맑은 고딕" w:eastAsia="맑은 고딕"/>
                <w:b w:val="0"/>
                <w:sz w:val="18"/>
              </w:rPr>
              <w:t>검증 가능한 가설 표현</w:t>
            </w:r>
          </w:p>
        </w:tc>
        <w:tc>
          <w:tcPr>
            <w:tcW w:type="dxa" w:w="3249"/>
            <w:vAlign w:val="center"/>
          </w:tcPr>
          <w:p>
            <w:pPr>
              <w:jc w:val="center"/>
            </w:pPr>
            <w:r/>
            <w:r>
              <w:rPr>
                <w:rFonts w:ascii="맑은 고딕" w:hAnsi="맑은 고딕" w:eastAsia="맑은 고딕"/>
                <w:b w:val="0"/>
                <w:sz w:val="18"/>
              </w:rPr>
              <w:t>68.9%</w:t>
            </w:r>
          </w:p>
        </w:tc>
        <w:tc>
          <w:tcPr>
            <w:tcW w:type="dxa" w:w="3249"/>
            <w:vAlign w:val="center"/>
          </w:tcPr>
          <w:p>
            <w:pPr>
              <w:jc w:val="center"/>
            </w:pPr>
            <w:r/>
            <w:r>
              <w:rPr>
                <w:rFonts w:ascii="맑은 고딕" w:hAnsi="맑은 고딕" w:eastAsia="맑은 고딕"/>
                <w:b w:val="0"/>
                <w:sz w:val="18"/>
              </w:rPr>
              <w:t>71.8%</w:t>
            </w:r>
          </w:p>
        </w:tc>
      </w:tr>
      <w:tr>
        <w:tc>
          <w:tcPr>
            <w:tcW w:type="dxa" w:w="3249"/>
            <w:vAlign w:val="center"/>
          </w:tcPr>
          <w:p>
            <w:pPr>
              <w:jc w:val="center"/>
            </w:pPr>
            <w:r/>
            <w:r>
              <w:rPr>
                <w:rFonts w:ascii="맑은 고딕" w:hAnsi="맑은 고딕" w:eastAsia="맑은 고딕"/>
                <w:b w:val="0"/>
                <w:sz w:val="18"/>
              </w:rPr>
              <w:t>같은 잠재특성 수준 조건 없음</w:t>
            </w:r>
          </w:p>
        </w:tc>
        <w:tc>
          <w:tcPr>
            <w:tcW w:type="dxa" w:w="3249"/>
            <w:vAlign w:val="center"/>
          </w:tcPr>
          <w:p>
            <w:pPr>
              <w:jc w:val="center"/>
            </w:pPr>
            <w:r/>
            <w:r>
              <w:rPr>
                <w:rFonts w:ascii="맑은 고딕" w:hAnsi="맑은 고딕" w:eastAsia="맑은 고딕"/>
                <w:b w:val="0"/>
                <w:sz w:val="18"/>
              </w:rPr>
              <w:t>39.9%</w:t>
            </w:r>
          </w:p>
        </w:tc>
        <w:tc>
          <w:tcPr>
            <w:tcW w:type="dxa" w:w="3249"/>
            <w:vAlign w:val="center"/>
          </w:tcPr>
          <w:p>
            <w:pPr>
              <w:jc w:val="center"/>
            </w:pPr>
            <w:r/>
            <w:r>
              <w:rPr>
                <w:rFonts w:ascii="맑은 고딕" w:hAnsi="맑은 고딕" w:eastAsia="맑은 고딕"/>
                <w:b w:val="0"/>
                <w:sz w:val="18"/>
              </w:rPr>
              <w:t>30.5%</w:t>
            </w:r>
          </w:p>
        </w:tc>
      </w:tr>
      <w:tr>
        <w:tc>
          <w:tcPr>
            <w:tcW w:type="dxa" w:w="3249"/>
            <w:vAlign w:val="center"/>
          </w:tcPr>
          <w:p>
            <w:pPr>
              <w:jc w:val="center"/>
            </w:pPr>
            <w:r/>
            <w:r>
              <w:rPr>
                <w:rFonts w:ascii="맑은 고딕" w:hAnsi="맑은 고딕" w:eastAsia="맑은 고딕"/>
                <w:b w:val="0"/>
                <w:sz w:val="18"/>
              </w:rPr>
              <w:t>모호한 일반론</w:t>
            </w:r>
          </w:p>
        </w:tc>
        <w:tc>
          <w:tcPr>
            <w:tcW w:type="dxa" w:w="3249"/>
            <w:vAlign w:val="center"/>
          </w:tcPr>
          <w:p>
            <w:pPr>
              <w:jc w:val="center"/>
            </w:pPr>
            <w:r/>
            <w:r>
              <w:rPr>
                <w:rFonts w:ascii="맑은 고딕" w:hAnsi="맑은 고딕" w:eastAsia="맑은 고딕"/>
                <w:b w:val="0"/>
                <w:sz w:val="18"/>
              </w:rPr>
              <w:t>28.2%</w:t>
            </w:r>
          </w:p>
        </w:tc>
        <w:tc>
          <w:tcPr>
            <w:tcW w:type="dxa" w:w="3249"/>
            <w:vAlign w:val="center"/>
          </w:tcPr>
          <w:p>
            <w:pPr>
              <w:jc w:val="center"/>
            </w:pPr>
            <w:r/>
            <w:r>
              <w:rPr>
                <w:rFonts w:ascii="맑은 고딕" w:hAnsi="맑은 고딕" w:eastAsia="맑은 고딕"/>
                <w:b w:val="0"/>
                <w:sz w:val="18"/>
              </w:rPr>
              <w:t>24.1%</w:t>
            </w:r>
          </w:p>
        </w:tc>
      </w:tr>
      <w:tr>
        <w:tc>
          <w:tcPr>
            <w:tcW w:type="dxa" w:w="3249"/>
            <w:vAlign w:val="center"/>
          </w:tcPr>
          <w:p>
            <w:pPr>
              <w:jc w:val="center"/>
            </w:pPr>
            <w:r/>
            <w:r>
              <w:rPr>
                <w:rFonts w:ascii="맑은 고딕" w:hAnsi="맑은 고딕" w:eastAsia="맑은 고딕"/>
                <w:b w:val="0"/>
                <w:sz w:val="18"/>
              </w:rPr>
              <w:t>성별·연령 고정관념 가능성</w:t>
            </w:r>
          </w:p>
        </w:tc>
        <w:tc>
          <w:tcPr>
            <w:tcW w:type="dxa" w:w="3249"/>
            <w:vAlign w:val="center"/>
          </w:tcPr>
          <w:p>
            <w:pPr>
              <w:jc w:val="center"/>
            </w:pPr>
            <w:r/>
            <w:r>
              <w:rPr>
                <w:rFonts w:ascii="맑은 고딕" w:hAnsi="맑은 고딕" w:eastAsia="맑은 고딕"/>
                <w:b w:val="0"/>
                <w:sz w:val="18"/>
              </w:rPr>
              <w:t>16.9%</w:t>
            </w:r>
          </w:p>
        </w:tc>
        <w:tc>
          <w:tcPr>
            <w:tcW w:type="dxa" w:w="3249"/>
            <w:vAlign w:val="center"/>
          </w:tcPr>
          <w:p>
            <w:pPr>
              <w:jc w:val="center"/>
            </w:pPr>
            <w:r/>
            <w:r>
              <w:rPr>
                <w:rFonts w:ascii="맑은 고딕" w:hAnsi="맑은 고딕" w:eastAsia="맑은 고딕"/>
                <w:b w:val="0"/>
                <w:sz w:val="18"/>
              </w:rPr>
              <w:t>19.7%</w:t>
            </w:r>
          </w:p>
        </w:tc>
      </w:tr>
      <w:tr>
        <w:tc>
          <w:tcPr>
            <w:tcW w:type="dxa" w:w="3249"/>
            <w:vAlign w:val="center"/>
          </w:tcPr>
          <w:p>
            <w:pPr>
              <w:jc w:val="center"/>
            </w:pPr>
            <w:r/>
            <w:r>
              <w:rPr>
                <w:rFonts w:ascii="맑은 고딕" w:hAnsi="맑은 고딕" w:eastAsia="맑은 고딕"/>
                <w:b w:val="0"/>
                <w:sz w:val="18"/>
              </w:rPr>
              <w:t>문항 관련성이 약한 추측</w:t>
            </w:r>
          </w:p>
        </w:tc>
        <w:tc>
          <w:tcPr>
            <w:tcW w:type="dxa" w:w="3249"/>
            <w:vAlign w:val="center"/>
          </w:tcPr>
          <w:p>
            <w:pPr>
              <w:jc w:val="center"/>
            </w:pPr>
            <w:r/>
            <w:r>
              <w:rPr>
                <w:rFonts w:ascii="맑은 고딕" w:hAnsi="맑은 고딕" w:eastAsia="맑은 고딕"/>
                <w:b w:val="0"/>
                <w:sz w:val="18"/>
              </w:rPr>
              <w:t>1.9%</w:t>
            </w:r>
          </w:p>
        </w:tc>
        <w:tc>
          <w:tcPr>
            <w:tcW w:type="dxa" w:w="3249"/>
            <w:vAlign w:val="center"/>
          </w:tcPr>
          <w:p>
            <w:pPr>
              <w:jc w:val="center"/>
            </w:pPr>
            <w:r/>
            <w:r>
              <w:rPr>
                <w:rFonts w:ascii="맑은 고딕" w:hAnsi="맑은 고딕" w:eastAsia="맑은 고딕"/>
                <w:b w:val="0"/>
                <w:sz w:val="18"/>
              </w:rPr>
              <w:t>1.5%</w:t>
            </w:r>
          </w:p>
        </w:tc>
      </w:tr>
      <w:tr>
        <w:tc>
          <w:tcPr>
            <w:tcW w:type="dxa" w:w="3249"/>
            <w:vAlign w:val="center"/>
          </w:tcPr>
          <w:p>
            <w:pPr>
              <w:jc w:val="center"/>
            </w:pPr>
            <w:r/>
            <w:r>
              <w:rPr>
                <w:rFonts w:ascii="맑은 고딕" w:hAnsi="맑은 고딕" w:eastAsia="맑은 고딕"/>
                <w:b w:val="0"/>
                <w:sz w:val="18"/>
              </w:rPr>
              <w:t>실제 차이를 DIF로 오인할 가능성</w:t>
            </w:r>
          </w:p>
        </w:tc>
        <w:tc>
          <w:tcPr>
            <w:tcW w:type="dxa" w:w="3249"/>
            <w:vAlign w:val="center"/>
          </w:tcPr>
          <w:p>
            <w:pPr>
              <w:jc w:val="center"/>
            </w:pPr>
            <w:r/>
            <w:r>
              <w:rPr>
                <w:rFonts w:ascii="맑은 고딕" w:hAnsi="맑은 고딕" w:eastAsia="맑은 고딕"/>
                <w:b w:val="0"/>
                <w:sz w:val="18"/>
              </w:rPr>
              <w:t>0.6%</w:t>
            </w:r>
          </w:p>
        </w:tc>
        <w:tc>
          <w:tcPr>
            <w:tcW w:type="dxa" w:w="3249"/>
            <w:vAlign w:val="center"/>
          </w:tcPr>
          <w:p>
            <w:pPr>
              <w:jc w:val="center"/>
            </w:pPr>
            <w:r/>
            <w:r>
              <w:rPr>
                <w:rFonts w:ascii="맑은 고딕" w:hAnsi="맑은 고딕" w:eastAsia="맑은 고딕"/>
                <w:b w:val="0"/>
                <w:sz w:val="18"/>
              </w:rPr>
              <w:t>1.9%</w:t>
            </w:r>
          </w:p>
        </w:tc>
      </w:tr>
    </w:tbl>
    <w:p/>
    <w:p>
      <w:pPr>
        <w:spacing w:line="348" w:lineRule="auto" w:after="60"/>
        <w:ind w:firstLine="425"/>
      </w:pPr>
      <w:r>
        <w:rPr>
          <w:rFonts w:ascii="맑은 고딕" w:hAnsi="맑은 고딕" w:eastAsia="맑은 고딕"/>
          <w:sz w:val="21"/>
        </w:rPr>
        <w:t>종합하면, 엄격한 DIF 구분 지시문은 LLM 판단 근거에서 응답 과정과 검증 가능한 가설 표현을 늘리고, 같은 잠재특성 수준 조건의 누락을 줄였다. 그러나 성별과 연령에 대한 일반적 설명이나 고정관념적 서사는 남아 있었다. 지시문을 엄격하게 만드는 것만으로 LLM 판단 근거가 심리측정학적으로 타당해지는 것은 아니다.</w:t>
      </w:r>
    </w:p>
    <w:p>
      <w:pPr>
        <w:pStyle w:val="Heading2"/>
      </w:pPr>
      <w:r>
        <w:rPr>
          <w:rFonts w:ascii="맑은 고딕" w:hAnsi="맑은 고딕" w:eastAsia="맑은 고딕"/>
          <w:sz w:val="24"/>
        </w:rPr>
        <w:t>결과 요약</w:t>
      </w:r>
    </w:p>
    <w:p>
      <w:pPr>
        <w:spacing w:line="348" w:lineRule="auto" w:after="60"/>
        <w:ind w:firstLine="425"/>
      </w:pPr>
      <w:r>
        <w:rPr>
          <w:rFonts w:ascii="맑은 고딕" w:hAnsi="맑은 고딕" w:eastAsia="맑은 고딕"/>
          <w:sz w:val="21"/>
        </w:rPr>
        <w:t>전체 결과는 LLM이 키워드 비교 기준을 일관되게 능가한다는 해석을 지지하지 않았다. 기본 지시문 조건에서 LLM은 전체 AP와 여러 공변량별 AP에서 키워드 기준보다 낮았다. 엄격한 DIF 구분 지시문은 전체 AP와 일부 공변량별 AP를 개선했지만, 키워드 기준을 넘지는 못했다. 또한 두 지시문 조건의 상위 후보 목록은 크게 달랐다.</w:t>
      </w:r>
    </w:p>
    <w:p>
      <w:pPr>
        <w:spacing w:line="348" w:lineRule="auto" w:after="60"/>
        <w:ind w:firstLine="425"/>
      </w:pPr>
      <w:r>
        <w:rPr>
          <w:rFonts w:ascii="맑은 고딕" w:hAnsi="맑은 고딕" w:eastAsia="맑은 고딕"/>
          <w:sz w:val="21"/>
        </w:rPr>
        <w:t>다만 이 결과는 LLM 사용 가능성을 전면적으로 부정하지 않는다. 엄격한 지시문은 일부 성능 지표와 판단 근거의 질을 개선하였다. 따라서 LLM은 단독 판정 도구가 아니라, 키워드 비교 기준, 지시문 민감도 점검, 판단 근거 코딩, 후속 심리측정 검증을 동반할 때 제한적으로 사용할 수 있는 후보 가설 생성 도구로 보는 것이 적절하다.</w:t>
      </w:r>
    </w:p>
    <w:p>
      <w:pPr>
        <w:pStyle w:val="Heading2"/>
      </w:pPr>
      <w:r>
        <w:rPr>
          <w:rFonts w:ascii="맑은 고딕" w:hAnsi="맑은 고딕" w:eastAsia="맑은 고딕"/>
          <w:sz w:val="24"/>
        </w:rPr>
        <w:t>6차년도 단일 wave 민감도 분석</w:t>
      </w:r>
    </w:p>
    <w:p>
      <w:pPr>
        <w:spacing w:line="348" w:lineRule="auto" w:after="60"/>
        <w:ind w:firstLine="425"/>
      </w:pPr>
      <w:r>
        <w:rPr>
          <w:rFonts w:ascii="맑은 고딕" w:hAnsi="맑은 고딕" w:eastAsia="맑은 고딕"/>
          <w:sz w:val="21"/>
        </w:rPr>
        <w:t>추가 민감도 분석으로 MAPS 2기 6차년도 자료만을 사용하여 동일한 평가를 반복하였다. 이 분석은 1-5차년도 pooled long format 결과가 반복측정 자료 결합 방식에 의해 좌우되는지 확인하기 위한 목적에서 수행하였다. 6차년도 분석에서는 wave 통제항이 필요하지 않으므로, 문항 응답을 척도 점수 proxy와 해당 공변량으로 예측하는 단일 wave ordinal screening 모형을 사용하였다. 이 결과 역시 최종 DIF 판정이 아니라 LLM 및 키워드 기준의 우선순위화 성능을 비교하기 위한 잠정적 기준으로 사용하였다.</w:t>
      </w:r>
    </w:p>
    <w:p>
      <w:pPr>
        <w:spacing w:line="348" w:lineRule="auto" w:after="60"/>
        <w:ind w:firstLine="425"/>
      </w:pPr>
      <w:r>
        <w:rPr>
          <w:rFonts w:ascii="맑은 고딕" w:hAnsi="맑은 고딕" w:eastAsia="맑은 고딕"/>
          <w:sz w:val="21"/>
        </w:rPr>
        <w:t>6차년도 단일 wave 분석에서도 LLM은 키워드 비교 기준을 넘지 못했다. 기본 지시문 조건의 LLM AP는 .208이었고, 키워드 비교 기준의 AP는 .299였다. 엄격한 DIF 구분 지시문 조건의 LLM AP는 .201이었고, 키워드 비교 기준의 AP는 .302였다. 즉 6차년도 단일 wave 기준에서는 엄격한 지시문이 기본 지시문보다 AP를 개선하지 못했다.</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vAlign w:val="center"/>
            <w:shd w:fill="D9EAF7"/>
          </w:tcPr>
          <w:p>
            <w:pPr>
              <w:jc w:val="center"/>
            </w:pPr>
            <w:r/>
            <w:r>
              <w:rPr>
                <w:rFonts w:ascii="맑은 고딕" w:hAnsi="맑은 고딕" w:eastAsia="맑은 고딕"/>
                <w:b/>
                <w:sz w:val="18"/>
              </w:rPr>
              <w:t>지시문 조건</w:t>
            </w:r>
          </w:p>
        </w:tc>
        <w:tc>
          <w:tcPr>
            <w:tcW w:type="dxa" w:w="1083"/>
            <w:vAlign w:val="center"/>
            <w:shd w:fill="D9EAF7"/>
          </w:tcPr>
          <w:p>
            <w:pPr>
              <w:jc w:val="center"/>
            </w:pPr>
            <w:r/>
            <w:r>
              <w:rPr>
                <w:rFonts w:ascii="맑은 고딕" w:hAnsi="맑은 고딕" w:eastAsia="맑은 고딕"/>
                <w:b/>
                <w:sz w:val="18"/>
              </w:rPr>
              <w:t>분석 조합 수</w:t>
            </w:r>
          </w:p>
        </w:tc>
        <w:tc>
          <w:tcPr>
            <w:tcW w:type="dxa" w:w="1083"/>
            <w:vAlign w:val="center"/>
            <w:shd w:fill="D9EAF7"/>
          </w:tcPr>
          <w:p>
            <w:pPr>
              <w:jc w:val="center"/>
            </w:pPr>
            <w:r/>
            <w:r>
              <w:rPr>
                <w:rFonts w:ascii="맑은 고딕" w:hAnsi="맑은 고딕" w:eastAsia="맑은 고딕"/>
                <w:b/>
                <w:sz w:val="18"/>
              </w:rPr>
              <w:t>경험 DIF 후보 수</w:t>
            </w:r>
          </w:p>
        </w:tc>
        <w:tc>
          <w:tcPr>
            <w:tcW w:type="dxa" w:w="1083"/>
            <w:vAlign w:val="center"/>
            <w:shd w:fill="D9EAF7"/>
          </w:tcPr>
          <w:p>
            <w:pPr>
              <w:jc w:val="center"/>
            </w:pPr>
            <w:r/>
            <w:r>
              <w:rPr>
                <w:rFonts w:ascii="맑은 고딕" w:hAnsi="맑은 고딕" w:eastAsia="맑은 고딕"/>
                <w:b/>
                <w:sz w:val="18"/>
              </w:rPr>
              <w:t>LLM AP</w:t>
            </w:r>
          </w:p>
        </w:tc>
        <w:tc>
          <w:tcPr>
            <w:tcW w:type="dxa" w:w="1083"/>
            <w:vAlign w:val="center"/>
            <w:shd w:fill="D9EAF7"/>
          </w:tcPr>
          <w:p>
            <w:pPr>
              <w:jc w:val="center"/>
            </w:pPr>
            <w:r/>
            <w:r>
              <w:rPr>
                <w:rFonts w:ascii="맑은 고딕" w:hAnsi="맑은 고딕" w:eastAsia="맑은 고딕"/>
                <w:b/>
                <w:sz w:val="18"/>
              </w:rPr>
              <w:t>키워드 AP</w:t>
            </w:r>
          </w:p>
        </w:tc>
        <w:tc>
          <w:tcPr>
            <w:tcW w:type="dxa" w:w="1083"/>
            <w:vAlign w:val="center"/>
            <w:shd w:fill="D9EAF7"/>
          </w:tcPr>
          <w:p>
            <w:pPr>
              <w:jc w:val="center"/>
            </w:pPr>
            <w:r/>
            <w:r>
              <w:rPr>
                <w:rFonts w:ascii="맑은 고딕" w:hAnsi="맑은 고딕" w:eastAsia="맑은 고딕"/>
                <w:b/>
                <w:sz w:val="18"/>
              </w:rPr>
              <w:t>LLM P@5</w:t>
            </w:r>
          </w:p>
        </w:tc>
        <w:tc>
          <w:tcPr>
            <w:tcW w:type="dxa" w:w="1083"/>
            <w:vAlign w:val="center"/>
            <w:shd w:fill="D9EAF7"/>
          </w:tcPr>
          <w:p>
            <w:pPr>
              <w:jc w:val="center"/>
            </w:pPr>
            <w:r/>
            <w:r>
              <w:rPr>
                <w:rFonts w:ascii="맑은 고딕" w:hAnsi="맑은 고딕" w:eastAsia="맑은 고딕"/>
                <w:b/>
                <w:sz w:val="18"/>
              </w:rPr>
              <w:t>키워드 P@5</w:t>
            </w:r>
          </w:p>
        </w:tc>
        <w:tc>
          <w:tcPr>
            <w:tcW w:type="dxa" w:w="1083"/>
            <w:vAlign w:val="center"/>
            <w:shd w:fill="D9EAF7"/>
          </w:tcPr>
          <w:p>
            <w:pPr>
              <w:jc w:val="center"/>
            </w:pPr>
            <w:r/>
            <w:r>
              <w:rPr>
                <w:rFonts w:ascii="맑은 고딕" w:hAnsi="맑은 고딕" w:eastAsia="맑은 고딕"/>
                <w:b/>
                <w:sz w:val="18"/>
              </w:rPr>
              <w:t>LLM P@10</w:t>
            </w:r>
          </w:p>
        </w:tc>
        <w:tc>
          <w:tcPr>
            <w:tcW w:type="dxa" w:w="1083"/>
            <w:vAlign w:val="center"/>
            <w:shd w:fill="D9EAF7"/>
          </w:tcPr>
          <w:p>
            <w:pPr>
              <w:jc w:val="center"/>
            </w:pPr>
            <w:r/>
            <w:r>
              <w:rPr>
                <w:rFonts w:ascii="맑은 고딕" w:hAnsi="맑은 고딕" w:eastAsia="맑은 고딕"/>
                <w:b/>
                <w:sz w:val="18"/>
              </w:rPr>
              <w:t>키워드 P@10</w:t>
            </w:r>
          </w:p>
        </w:tc>
      </w:tr>
      <w:tr>
        <w:tc>
          <w:tcPr>
            <w:tcW w:type="dxa" w:w="1083"/>
            <w:vAlign w:val="center"/>
          </w:tcPr>
          <w:p>
            <w:pPr>
              <w:jc w:val="center"/>
            </w:pPr>
            <w:r/>
            <w:r>
              <w:rPr>
                <w:rFonts w:ascii="맑은 고딕" w:hAnsi="맑은 고딕" w:eastAsia="맑은 고딕"/>
                <w:b w:val="0"/>
                <w:sz w:val="18"/>
              </w:rPr>
              <w:t>기본 지시문</w:t>
            </w:r>
          </w:p>
        </w:tc>
        <w:tc>
          <w:tcPr>
            <w:tcW w:type="dxa" w:w="1083"/>
            <w:vAlign w:val="center"/>
          </w:tcPr>
          <w:p>
            <w:pPr>
              <w:jc w:val="center"/>
            </w:pPr>
            <w:r/>
            <w:r>
              <w:rPr>
                <w:rFonts w:ascii="맑은 고딕" w:hAnsi="맑은 고딕" w:eastAsia="맑은 고딕"/>
                <w:b w:val="0"/>
                <w:sz w:val="18"/>
              </w:rPr>
              <w:t>486</w:t>
            </w:r>
          </w:p>
        </w:tc>
        <w:tc>
          <w:tcPr>
            <w:tcW w:type="dxa" w:w="1083"/>
            <w:vAlign w:val="center"/>
          </w:tcPr>
          <w:p>
            <w:pPr>
              <w:jc w:val="center"/>
            </w:pPr>
            <w:r/>
            <w:r>
              <w:rPr>
                <w:rFonts w:ascii="맑은 고딕" w:hAnsi="맑은 고딕" w:eastAsia="맑은 고딕"/>
                <w:b w:val="0"/>
                <w:sz w:val="18"/>
              </w:rPr>
              <w:t>70</w:t>
            </w:r>
          </w:p>
        </w:tc>
        <w:tc>
          <w:tcPr>
            <w:tcW w:type="dxa" w:w="1083"/>
            <w:vAlign w:val="center"/>
          </w:tcPr>
          <w:p>
            <w:pPr>
              <w:jc w:val="center"/>
            </w:pPr>
            <w:r/>
            <w:r>
              <w:rPr>
                <w:rFonts w:ascii="맑은 고딕" w:hAnsi="맑은 고딕" w:eastAsia="맑은 고딕"/>
                <w:b w:val="0"/>
                <w:sz w:val="18"/>
              </w:rPr>
              <w:t>.208</w:t>
            </w:r>
          </w:p>
        </w:tc>
        <w:tc>
          <w:tcPr>
            <w:tcW w:type="dxa" w:w="1083"/>
            <w:vAlign w:val="center"/>
          </w:tcPr>
          <w:p>
            <w:pPr>
              <w:jc w:val="center"/>
            </w:pPr>
            <w:r/>
            <w:r>
              <w:rPr>
                <w:rFonts w:ascii="맑은 고딕" w:hAnsi="맑은 고딕" w:eastAsia="맑은 고딕"/>
                <w:b w:val="0"/>
                <w:sz w:val="18"/>
              </w:rPr>
              <w:t>.299</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.400</w:t>
            </w:r>
          </w:p>
        </w:tc>
        <w:tc>
          <w:tcPr>
            <w:tcW w:type="dxa" w:w="1083"/>
            <w:vAlign w:val="center"/>
          </w:tcPr>
          <w:p>
            <w:pPr>
              <w:jc w:val="center"/>
            </w:pPr>
            <w:r/>
            <w:r>
              <w:rPr>
                <w:rFonts w:ascii="맑은 고딕" w:hAnsi="맑은 고딕" w:eastAsia="맑은 고딕"/>
                <w:b w:val="0"/>
                <w:sz w:val="18"/>
              </w:rPr>
              <w:t>.300</w:t>
            </w:r>
          </w:p>
        </w:tc>
      </w:tr>
      <w:tr>
        <w:tc>
          <w:tcPr>
            <w:tcW w:type="dxa" w:w="1083"/>
            <w:vAlign w:val="center"/>
          </w:tcPr>
          <w:p>
            <w:pPr>
              <w:jc w:val="center"/>
            </w:pPr>
            <w:r/>
            <w:r>
              <w:rPr>
                <w:rFonts w:ascii="맑은 고딕" w:hAnsi="맑은 고딕" w:eastAsia="맑은 고딕"/>
                <w:b w:val="0"/>
                <w:sz w:val="18"/>
              </w:rPr>
              <w:t>엄격한 DIF 구분 지시문</w:t>
            </w:r>
          </w:p>
        </w:tc>
        <w:tc>
          <w:tcPr>
            <w:tcW w:type="dxa" w:w="1083"/>
            <w:vAlign w:val="center"/>
          </w:tcPr>
          <w:p>
            <w:pPr>
              <w:jc w:val="center"/>
            </w:pPr>
            <w:r/>
            <w:r>
              <w:rPr>
                <w:rFonts w:ascii="맑은 고딕" w:hAnsi="맑은 고딕" w:eastAsia="맑은 고딕"/>
                <w:b w:val="0"/>
                <w:sz w:val="18"/>
              </w:rPr>
              <w:t>482</w:t>
            </w:r>
          </w:p>
        </w:tc>
        <w:tc>
          <w:tcPr>
            <w:tcW w:type="dxa" w:w="1083"/>
            <w:vAlign w:val="center"/>
          </w:tcPr>
          <w:p>
            <w:pPr>
              <w:jc w:val="center"/>
            </w:pPr>
            <w:r/>
            <w:r>
              <w:rPr>
                <w:rFonts w:ascii="맑은 고딕" w:hAnsi="맑은 고딕" w:eastAsia="맑은 고딕"/>
                <w:b w:val="0"/>
                <w:sz w:val="18"/>
              </w:rPr>
              <w:t>69</w:t>
            </w:r>
          </w:p>
        </w:tc>
        <w:tc>
          <w:tcPr>
            <w:tcW w:type="dxa" w:w="1083"/>
            <w:vAlign w:val="center"/>
          </w:tcPr>
          <w:p>
            <w:pPr>
              <w:jc w:val="center"/>
            </w:pPr>
            <w:r/>
            <w:r>
              <w:rPr>
                <w:rFonts w:ascii="맑은 고딕" w:hAnsi="맑은 고딕" w:eastAsia="맑은 고딕"/>
                <w:b w:val="0"/>
                <w:sz w:val="18"/>
              </w:rPr>
              <w:t>.201</w:t>
            </w:r>
          </w:p>
        </w:tc>
        <w:tc>
          <w:tcPr>
            <w:tcW w:type="dxa" w:w="1083"/>
            <w:vAlign w:val="center"/>
          </w:tcPr>
          <w:p>
            <w:pPr>
              <w:jc w:val="center"/>
            </w:pPr>
            <w:r/>
            <w:r>
              <w:rPr>
                <w:rFonts w:ascii="맑은 고딕" w:hAnsi="맑은 고딕" w:eastAsia="맑은 고딕"/>
                <w:b w:val="0"/>
                <w:sz w:val="18"/>
              </w:rPr>
              <w:t>.302</w:t>
            </w:r>
          </w:p>
        </w:tc>
        <w:tc>
          <w:tcPr>
            <w:tcW w:type="dxa" w:w="1083"/>
            <w:vAlign w:val="center"/>
          </w:tcPr>
          <w:p>
            <w:pPr>
              <w:jc w:val="center"/>
            </w:pPr>
            <w:r/>
            <w:r>
              <w:rPr>
                <w:rFonts w:ascii="맑은 고딕" w:hAnsi="맑은 고딕" w:eastAsia="맑은 고딕"/>
                <w:b w:val="0"/>
                <w:sz w:val="18"/>
              </w:rPr>
              <w:t>.400</w:t>
            </w:r>
          </w:p>
        </w:tc>
        <w:tc>
          <w:tcPr>
            <w:tcW w:type="dxa" w:w="1083"/>
            <w:vAlign w:val="center"/>
          </w:tcPr>
          <w:p>
            <w:pPr>
              <w:jc w:val="center"/>
            </w:pPr>
            <w:r/>
            <w:r>
              <w:rPr>
                <w:rFonts w:ascii="맑은 고딕" w:hAnsi="맑은 고딕" w:eastAsia="맑은 고딕"/>
                <w:b w:val="0"/>
                <w:sz w:val="18"/>
              </w:rPr>
              <w:t>.600</w:t>
            </w:r>
          </w:p>
        </w:tc>
        <w:tc>
          <w:tcPr>
            <w:tcW w:type="dxa" w:w="1083"/>
            <w:vAlign w:val="center"/>
          </w:tcPr>
          <w:p>
            <w:pPr>
              <w:jc w:val="center"/>
            </w:pPr>
            <w:r/>
            <w:r>
              <w:rPr>
                <w:rFonts w:ascii="맑은 고딕" w:hAnsi="맑은 고딕" w:eastAsia="맑은 고딕"/>
                <w:b w:val="0"/>
                <w:sz w:val="18"/>
              </w:rPr>
              <w:t>.200</w:t>
            </w:r>
          </w:p>
        </w:tc>
        <w:tc>
          <w:tcPr>
            <w:tcW w:type="dxa" w:w="1083"/>
            <w:vAlign w:val="center"/>
          </w:tcPr>
          <w:p>
            <w:pPr>
              <w:jc w:val="center"/>
            </w:pPr>
            <w:r/>
            <w:r>
              <w:rPr>
                <w:rFonts w:ascii="맑은 고딕" w:hAnsi="맑은 고딕" w:eastAsia="맑은 고딕"/>
                <w:b w:val="0"/>
                <w:sz w:val="18"/>
              </w:rPr>
              <w:t>.300</w:t>
            </w:r>
          </w:p>
        </w:tc>
      </w:tr>
    </w:tbl>
    <w:p/>
    <w:p>
      <w:pPr>
        <w:spacing w:line="348" w:lineRule="auto" w:after="60"/>
        <w:ind w:firstLine="425"/>
      </w:pPr>
      <w:r>
        <w:rPr>
          <w:rFonts w:ascii="맑은 고딕" w:hAnsi="맑은 고딕" w:eastAsia="맑은 고딕"/>
          <w:sz w:val="21"/>
        </w:rPr>
        <w:t>공변량별 결과도 비슷한 결론을 보였다. 차별 경험에서는 기본 지시문 LLM AP가 .307, 엄격한 지시문 LLM AP가 .260이었고, 키워드 기준 AP는 .370이었다. 한국어 능력에서는 기본 지시문 LLM AP가 .360, 엄격한 지시문 LLM AP가 .328이었으며, 키워드 기준 AP는 .582였다. 성별에서는 LLM이 키워드 기준과 비슷하거나 약간 높은 값을 보였지만, 연령과 가구소득에서는 LLM과 키워드 기준 모두 낮은 성능을 보였다.</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D9EAF7"/>
          </w:tcPr>
          <w:p>
            <w:pPr>
              <w:jc w:val="center"/>
            </w:pPr>
            <w:r/>
            <w:r>
              <w:rPr>
                <w:rFonts w:ascii="맑은 고딕" w:hAnsi="맑은 고딕" w:eastAsia="맑은 고딕"/>
                <w:b/>
                <w:sz w:val="18"/>
              </w:rPr>
              <w:t>공변량</w:t>
            </w:r>
          </w:p>
        </w:tc>
        <w:tc>
          <w:tcPr>
            <w:tcW w:type="dxa" w:w="1624"/>
            <w:vAlign w:val="center"/>
            <w:shd w:fill="D9EAF7"/>
          </w:tcPr>
          <w:p>
            <w:pPr>
              <w:jc w:val="center"/>
            </w:pPr>
            <w:r/>
            <w:r>
              <w:rPr>
                <w:rFonts w:ascii="맑은 고딕" w:hAnsi="맑은 고딕" w:eastAsia="맑은 고딕"/>
                <w:b/>
                <w:sz w:val="18"/>
              </w:rPr>
              <w:t>기본 LLM AP</w:t>
            </w:r>
          </w:p>
        </w:tc>
        <w:tc>
          <w:tcPr>
            <w:tcW w:type="dxa" w:w="1624"/>
            <w:vAlign w:val="center"/>
            <w:shd w:fill="D9EAF7"/>
          </w:tcPr>
          <w:p>
            <w:pPr>
              <w:jc w:val="center"/>
            </w:pPr>
            <w:r/>
            <w:r>
              <w:rPr>
                <w:rFonts w:ascii="맑은 고딕" w:hAnsi="맑은 고딕" w:eastAsia="맑은 고딕"/>
                <w:b/>
                <w:sz w:val="18"/>
              </w:rPr>
              <w:t>기본 키워드 AP</w:t>
            </w:r>
          </w:p>
        </w:tc>
        <w:tc>
          <w:tcPr>
            <w:tcW w:type="dxa" w:w="1624"/>
            <w:vAlign w:val="center"/>
            <w:shd w:fill="D9EAF7"/>
          </w:tcPr>
          <w:p>
            <w:pPr>
              <w:jc w:val="center"/>
            </w:pPr>
            <w:r/>
            <w:r>
              <w:rPr>
                <w:rFonts w:ascii="맑은 고딕" w:hAnsi="맑은 고딕" w:eastAsia="맑은 고딕"/>
                <w:b/>
                <w:sz w:val="18"/>
              </w:rPr>
              <w:t>엄격 LLM AP</w:t>
            </w:r>
          </w:p>
        </w:tc>
        <w:tc>
          <w:tcPr>
            <w:tcW w:type="dxa" w:w="1624"/>
            <w:vAlign w:val="center"/>
            <w:shd w:fill="D9EAF7"/>
          </w:tcPr>
          <w:p>
            <w:pPr>
              <w:jc w:val="center"/>
            </w:pPr>
            <w:r/>
            <w:r>
              <w:rPr>
                <w:rFonts w:ascii="맑은 고딕" w:hAnsi="맑은 고딕" w:eastAsia="맑은 고딕"/>
                <w:b/>
                <w:sz w:val="18"/>
              </w:rPr>
              <w:t>엄격 키워드 AP</w:t>
            </w:r>
          </w:p>
        </w:tc>
        <w:tc>
          <w:tcPr>
            <w:tcW w:type="dxa" w:w="1624"/>
            <w:vAlign w:val="center"/>
            <w:shd w:fill="D9EAF7"/>
          </w:tcPr>
          <w:p>
            <w:pPr>
              <w:jc w:val="center"/>
            </w:pPr>
            <w:r/>
            <w:r>
              <w:rPr>
                <w:rFonts w:ascii="맑은 고딕" w:hAnsi="맑은 고딕" w:eastAsia="맑은 고딕"/>
                <w:b/>
                <w:sz w:val="18"/>
              </w:rPr>
              <w:t>해석</w:t>
            </w:r>
          </w:p>
        </w:tc>
      </w:tr>
      <w:tr>
        <w:tc>
          <w:tcPr>
            <w:tcW w:type="dxa" w:w="1624"/>
            <w:vAlign w:val="center"/>
          </w:tcPr>
          <w:p>
            <w:pPr>
              <w:jc w:val="center"/>
            </w:pPr>
            <w:r/>
            <w:r>
              <w:rPr>
                <w:rFonts w:ascii="맑은 고딕" w:hAnsi="맑은 고딕" w:eastAsia="맑은 고딕"/>
                <w:b w:val="0"/>
                <w:sz w:val="18"/>
              </w:rPr>
              <w:t>차별 경험</w:t>
            </w:r>
          </w:p>
        </w:tc>
        <w:tc>
          <w:tcPr>
            <w:tcW w:type="dxa" w:w="1624"/>
            <w:vAlign w:val="center"/>
          </w:tcPr>
          <w:p>
            <w:pPr>
              <w:jc w:val="center"/>
            </w:pPr>
            <w:r/>
            <w:r>
              <w:rPr>
                <w:rFonts w:ascii="맑은 고딕" w:hAnsi="맑은 고딕" w:eastAsia="맑은 고딕"/>
                <w:b w:val="0"/>
                <w:sz w:val="18"/>
              </w:rPr>
              <w:t>.307</w:t>
            </w:r>
          </w:p>
        </w:tc>
        <w:tc>
          <w:tcPr>
            <w:tcW w:type="dxa" w:w="1624"/>
            <w:vAlign w:val="center"/>
          </w:tcPr>
          <w:p>
            <w:pPr>
              <w:jc w:val="center"/>
            </w:pPr>
            <w:r/>
            <w:r>
              <w:rPr>
                <w:rFonts w:ascii="맑은 고딕" w:hAnsi="맑은 고딕" w:eastAsia="맑은 고딕"/>
                <w:b w:val="0"/>
                <w:sz w:val="18"/>
              </w:rPr>
              <w:t>.370</w:t>
            </w:r>
          </w:p>
        </w:tc>
        <w:tc>
          <w:tcPr>
            <w:tcW w:type="dxa" w:w="1624"/>
            <w:vAlign w:val="center"/>
          </w:tcPr>
          <w:p>
            <w:pPr>
              <w:jc w:val="center"/>
            </w:pPr>
            <w:r/>
            <w:r>
              <w:rPr>
                <w:rFonts w:ascii="맑은 고딕" w:hAnsi="맑은 고딕" w:eastAsia="맑은 고딕"/>
                <w:b w:val="0"/>
                <w:sz w:val="18"/>
              </w:rPr>
              <w:t>.260</w:t>
            </w:r>
          </w:p>
        </w:tc>
        <w:tc>
          <w:tcPr>
            <w:tcW w:type="dxa" w:w="1624"/>
            <w:vAlign w:val="center"/>
          </w:tcPr>
          <w:p>
            <w:pPr>
              <w:jc w:val="center"/>
            </w:pPr>
            <w:r/>
            <w:r>
              <w:rPr>
                <w:rFonts w:ascii="맑은 고딕" w:hAnsi="맑은 고딕" w:eastAsia="맑은 고딕"/>
                <w:b w:val="0"/>
                <w:sz w:val="18"/>
              </w:rPr>
              <w:t>.370</w:t>
            </w:r>
          </w:p>
        </w:tc>
        <w:tc>
          <w:tcPr>
            <w:tcW w:type="dxa" w:w="1624"/>
            <w:vAlign w:val="center"/>
          </w:tcPr>
          <w:p>
            <w:pPr>
              <w:jc w:val="center"/>
            </w:pPr>
            <w:r/>
            <w:r>
              <w:rPr>
                <w:rFonts w:ascii="맑은 고딕" w:hAnsi="맑은 고딕" w:eastAsia="맑은 고딕"/>
                <w:b w:val="0"/>
                <w:sz w:val="18"/>
              </w:rPr>
              <w:t>키워드 기준 우세</w:t>
            </w:r>
          </w:p>
        </w:tc>
      </w:tr>
      <w:tr>
        <w:tc>
          <w:tcPr>
            <w:tcW w:type="dxa" w:w="1624"/>
            <w:vAlign w:val="center"/>
          </w:tcPr>
          <w:p>
            <w:pPr>
              <w:jc w:val="center"/>
            </w:pPr>
            <w:r/>
            <w:r>
              <w:rPr>
                <w:rFonts w:ascii="맑은 고딕" w:hAnsi="맑은 고딕" w:eastAsia="맑은 고딕"/>
                <w:b w:val="0"/>
                <w:sz w:val="18"/>
              </w:rPr>
              <w:t>한국어 능력</w:t>
            </w:r>
          </w:p>
        </w:tc>
        <w:tc>
          <w:tcPr>
            <w:tcW w:type="dxa" w:w="1624"/>
            <w:vAlign w:val="center"/>
          </w:tcPr>
          <w:p>
            <w:pPr>
              <w:jc w:val="center"/>
            </w:pPr>
            <w:r/>
            <w:r>
              <w:rPr>
                <w:rFonts w:ascii="맑은 고딕" w:hAnsi="맑은 고딕" w:eastAsia="맑은 고딕"/>
                <w:b w:val="0"/>
                <w:sz w:val="18"/>
              </w:rPr>
              <w:t>.360</w:t>
            </w:r>
          </w:p>
        </w:tc>
        <w:tc>
          <w:tcPr>
            <w:tcW w:type="dxa" w:w="1624"/>
            <w:vAlign w:val="center"/>
          </w:tcPr>
          <w:p>
            <w:pPr>
              <w:jc w:val="center"/>
            </w:pPr>
            <w:r/>
            <w:r>
              <w:rPr>
                <w:rFonts w:ascii="맑은 고딕" w:hAnsi="맑은 고딕" w:eastAsia="맑은 고딕"/>
                <w:b w:val="0"/>
                <w:sz w:val="18"/>
              </w:rPr>
              <w:t>.582</w:t>
            </w:r>
          </w:p>
        </w:tc>
        <w:tc>
          <w:tcPr>
            <w:tcW w:type="dxa" w:w="1624"/>
            <w:vAlign w:val="center"/>
          </w:tcPr>
          <w:p>
            <w:pPr>
              <w:jc w:val="center"/>
            </w:pPr>
            <w:r/>
            <w:r>
              <w:rPr>
                <w:rFonts w:ascii="맑은 고딕" w:hAnsi="맑은 고딕" w:eastAsia="맑은 고딕"/>
                <w:b w:val="0"/>
                <w:sz w:val="18"/>
              </w:rPr>
              <w:t>.328</w:t>
            </w:r>
          </w:p>
        </w:tc>
        <w:tc>
          <w:tcPr>
            <w:tcW w:type="dxa" w:w="1624"/>
            <w:vAlign w:val="center"/>
          </w:tcPr>
          <w:p>
            <w:pPr>
              <w:jc w:val="center"/>
            </w:pPr>
            <w:r/>
            <w:r>
              <w:rPr>
                <w:rFonts w:ascii="맑은 고딕" w:hAnsi="맑은 고딕" w:eastAsia="맑은 고딕"/>
                <w:b w:val="0"/>
                <w:sz w:val="18"/>
              </w:rPr>
              <w:t>.582</w:t>
            </w:r>
          </w:p>
        </w:tc>
        <w:tc>
          <w:tcPr>
            <w:tcW w:type="dxa" w:w="1624"/>
            <w:vAlign w:val="center"/>
          </w:tcPr>
          <w:p>
            <w:pPr>
              <w:jc w:val="center"/>
            </w:pPr>
            <w:r/>
            <w:r>
              <w:rPr>
                <w:rFonts w:ascii="맑은 고딕" w:hAnsi="맑은 고딕" w:eastAsia="맑은 고딕"/>
                <w:b w:val="0"/>
                <w:sz w:val="18"/>
              </w:rPr>
              <w:t>키워드 기준 우세</w:t>
            </w:r>
          </w:p>
        </w:tc>
      </w:tr>
      <w:tr>
        <w:tc>
          <w:tcPr>
            <w:tcW w:type="dxa" w:w="1624"/>
            <w:vAlign w:val="center"/>
          </w:tcPr>
          <w:p>
            <w:pPr>
              <w:jc w:val="center"/>
            </w:pPr>
            <w:r/>
            <w:r>
              <w:rPr>
                <w:rFonts w:ascii="맑은 고딕" w:hAnsi="맑은 고딕" w:eastAsia="맑은 고딕"/>
                <w:b w:val="0"/>
                <w:sz w:val="18"/>
              </w:rPr>
              <w:t>성별</w:t>
            </w:r>
          </w:p>
        </w:tc>
        <w:tc>
          <w:tcPr>
            <w:tcW w:type="dxa" w:w="1624"/>
            <w:vAlign w:val="center"/>
          </w:tcPr>
          <w:p>
            <w:pPr>
              <w:jc w:val="center"/>
            </w:pPr>
            <w:r/>
            <w:r>
              <w:rPr>
                <w:rFonts w:ascii="맑은 고딕" w:hAnsi="맑은 고딕" w:eastAsia="맑은 고딕"/>
                <w:b w:val="0"/>
                <w:sz w:val="18"/>
              </w:rPr>
              <w:t>.248</w:t>
            </w:r>
          </w:p>
        </w:tc>
        <w:tc>
          <w:tcPr>
            <w:tcW w:type="dxa" w:w="1624"/>
            <w:vAlign w:val="center"/>
          </w:tcPr>
          <w:p>
            <w:pPr>
              <w:jc w:val="center"/>
            </w:pPr>
            <w:r/>
            <w:r>
              <w:rPr>
                <w:rFonts w:ascii="맑은 고딕" w:hAnsi="맑은 고딕" w:eastAsia="맑은 고딕"/>
                <w:b w:val="0"/>
                <w:sz w:val="18"/>
              </w:rPr>
              <w:t>.239</w:t>
            </w:r>
          </w:p>
        </w:tc>
        <w:tc>
          <w:tcPr>
            <w:tcW w:type="dxa" w:w="1624"/>
            <w:vAlign w:val="center"/>
          </w:tcPr>
          <w:p>
            <w:pPr>
              <w:jc w:val="center"/>
            </w:pPr>
            <w:r/>
            <w:r>
              <w:rPr>
                <w:rFonts w:ascii="맑은 고딕" w:hAnsi="맑은 고딕" w:eastAsia="맑은 고딕"/>
                <w:b w:val="0"/>
                <w:sz w:val="18"/>
              </w:rPr>
              <w:t>.270</w:t>
            </w:r>
          </w:p>
        </w:tc>
        <w:tc>
          <w:tcPr>
            <w:tcW w:type="dxa" w:w="1624"/>
            <w:vAlign w:val="center"/>
          </w:tcPr>
          <w:p>
            <w:pPr>
              <w:jc w:val="center"/>
            </w:pPr>
            <w:r/>
            <w:r>
              <w:rPr>
                <w:rFonts w:ascii="맑은 고딕" w:hAnsi="맑은 고딕" w:eastAsia="맑은 고딕"/>
                <w:b w:val="0"/>
                <w:sz w:val="18"/>
              </w:rPr>
              <w:t>.239</w:t>
            </w:r>
          </w:p>
        </w:tc>
        <w:tc>
          <w:tcPr>
            <w:tcW w:type="dxa" w:w="1624"/>
            <w:vAlign w:val="center"/>
          </w:tcPr>
          <w:p>
            <w:pPr>
              <w:jc w:val="center"/>
            </w:pPr>
            <w:r/>
            <w:r>
              <w:rPr>
                <w:rFonts w:ascii="맑은 고딕" w:hAnsi="맑은 고딕" w:eastAsia="맑은 고딕"/>
                <w:b w:val="0"/>
                <w:sz w:val="18"/>
              </w:rPr>
              <w:t>LLM이 비슷하거나 약간 높음</w:t>
            </w:r>
          </w:p>
        </w:tc>
      </w:tr>
      <w:tr>
        <w:tc>
          <w:tcPr>
            <w:tcW w:type="dxa" w:w="1624"/>
            <w:vAlign w:val="center"/>
          </w:tcPr>
          <w:p>
            <w:pPr>
              <w:jc w:val="center"/>
            </w:pPr>
            <w:r/>
            <w:r>
              <w:rPr>
                <w:rFonts w:ascii="맑은 고딕" w:hAnsi="맑은 고딕" w:eastAsia="맑은 고딕"/>
                <w:b w:val="0"/>
                <w:sz w:val="18"/>
              </w:rPr>
              <w:t>연령</w:t>
            </w:r>
          </w:p>
        </w:tc>
        <w:tc>
          <w:tcPr>
            <w:tcW w:type="dxa" w:w="1624"/>
            <w:vAlign w:val="center"/>
          </w:tcPr>
          <w:p>
            <w:pPr>
              <w:jc w:val="center"/>
            </w:pPr>
            <w:r/>
            <w:r>
              <w:rPr>
                <w:rFonts w:ascii="맑은 고딕" w:hAnsi="맑은 고딕" w:eastAsia="맑은 고딕"/>
                <w:b w:val="0"/>
                <w:sz w:val="18"/>
              </w:rPr>
              <w:t>.050</w:t>
            </w:r>
          </w:p>
        </w:tc>
        <w:tc>
          <w:tcPr>
            <w:tcW w:type="dxa" w:w="1624"/>
            <w:vAlign w:val="center"/>
          </w:tcPr>
          <w:p>
            <w:pPr>
              <w:jc w:val="center"/>
            </w:pPr>
            <w:r/>
            <w:r>
              <w:rPr>
                <w:rFonts w:ascii="맑은 고딕" w:hAnsi="맑은 고딕" w:eastAsia="맑은 고딕"/>
                <w:b w:val="0"/>
                <w:sz w:val="18"/>
              </w:rPr>
              <w:t>.177</w:t>
            </w:r>
          </w:p>
        </w:tc>
        <w:tc>
          <w:tcPr>
            <w:tcW w:type="dxa" w:w="1624"/>
            <w:vAlign w:val="center"/>
          </w:tcPr>
          <w:p>
            <w:pPr>
              <w:jc w:val="center"/>
            </w:pPr>
            <w:r/>
            <w:r>
              <w:rPr>
                <w:rFonts w:ascii="맑은 고딕" w:hAnsi="맑은 고딕" w:eastAsia="맑은 고딕"/>
                <w:b w:val="0"/>
                <w:sz w:val="18"/>
              </w:rPr>
              <w:t>.076</w:t>
            </w:r>
          </w:p>
        </w:tc>
        <w:tc>
          <w:tcPr>
            <w:tcW w:type="dxa" w:w="1624"/>
            <w:vAlign w:val="center"/>
          </w:tcPr>
          <w:p>
            <w:pPr>
              <w:jc w:val="center"/>
            </w:pPr>
            <w:r/>
            <w:r>
              <w:rPr>
                <w:rFonts w:ascii="맑은 고딕" w:hAnsi="맑은 고딕" w:eastAsia="맑은 고딕"/>
                <w:b w:val="0"/>
                <w:sz w:val="18"/>
              </w:rPr>
              <w:t>.198</w:t>
            </w:r>
          </w:p>
        </w:tc>
        <w:tc>
          <w:tcPr>
            <w:tcW w:type="dxa" w:w="1624"/>
            <w:vAlign w:val="center"/>
          </w:tcPr>
          <w:p>
            <w:pPr>
              <w:jc w:val="center"/>
            </w:pPr>
            <w:r/>
            <w:r>
              <w:rPr>
                <w:rFonts w:ascii="맑은 고딕" w:hAnsi="맑은 고딕" w:eastAsia="맑은 고딕"/>
                <w:b w:val="0"/>
                <w:sz w:val="18"/>
              </w:rPr>
              <w:t>LLM과 키워드 기준 모두 낮음</w:t>
            </w:r>
          </w:p>
        </w:tc>
      </w:tr>
      <w:tr>
        <w:tc>
          <w:tcPr>
            <w:tcW w:type="dxa" w:w="1624"/>
            <w:vAlign w:val="center"/>
          </w:tcPr>
          <w:p>
            <w:pPr>
              <w:jc w:val="center"/>
            </w:pPr>
            <w:r/>
            <w:r>
              <w:rPr>
                <w:rFonts w:ascii="맑은 고딕" w:hAnsi="맑은 고딕" w:eastAsia="맑은 고딕"/>
                <w:b w:val="0"/>
                <w:sz w:val="18"/>
              </w:rPr>
              <w:t>가구소득</w:t>
            </w:r>
          </w:p>
        </w:tc>
        <w:tc>
          <w:tcPr>
            <w:tcW w:type="dxa" w:w="1624"/>
            <w:vAlign w:val="center"/>
          </w:tcPr>
          <w:p>
            <w:pPr>
              <w:jc w:val="center"/>
            </w:pPr>
            <w:r/>
            <w:r>
              <w:rPr>
                <w:rFonts w:ascii="맑은 고딕" w:hAnsi="맑은 고딕" w:eastAsia="맑은 고딕"/>
                <w:b w:val="0"/>
                <w:sz w:val="18"/>
              </w:rPr>
              <w:t>.057</w:t>
            </w:r>
          </w:p>
        </w:tc>
        <w:tc>
          <w:tcPr>
            <w:tcW w:type="dxa" w:w="1624"/>
            <w:vAlign w:val="center"/>
          </w:tcPr>
          <w:p>
            <w:pPr>
              <w:jc w:val="center"/>
            </w:pPr>
            <w:r/>
            <w:r>
              <w:rPr>
                <w:rFonts w:ascii="맑은 고딕" w:hAnsi="맑은 고딕" w:eastAsia="맑은 고딕"/>
                <w:b w:val="0"/>
                <w:sz w:val="18"/>
              </w:rPr>
              <w:t>.192</w:t>
            </w:r>
          </w:p>
        </w:tc>
        <w:tc>
          <w:tcPr>
            <w:tcW w:type="dxa" w:w="1624"/>
            <w:vAlign w:val="center"/>
          </w:tcPr>
          <w:p>
            <w:pPr>
              <w:jc w:val="center"/>
            </w:pPr>
            <w:r/>
            <w:r>
              <w:rPr>
                <w:rFonts w:ascii="맑은 고딕" w:hAnsi="맑은 고딕" w:eastAsia="맑은 고딕"/>
                <w:b w:val="0"/>
                <w:sz w:val="18"/>
              </w:rPr>
              <w:t>.067</w:t>
            </w:r>
          </w:p>
        </w:tc>
        <w:tc>
          <w:tcPr>
            <w:tcW w:type="dxa" w:w="1624"/>
            <w:vAlign w:val="center"/>
          </w:tcPr>
          <w:p>
            <w:pPr>
              <w:jc w:val="center"/>
            </w:pPr>
            <w:r/>
            <w:r>
              <w:rPr>
                <w:rFonts w:ascii="맑은 고딕" w:hAnsi="맑은 고딕" w:eastAsia="맑은 고딕"/>
                <w:b w:val="0"/>
                <w:sz w:val="18"/>
              </w:rPr>
              <w:t>.192</w:t>
            </w:r>
          </w:p>
        </w:tc>
        <w:tc>
          <w:tcPr>
            <w:tcW w:type="dxa" w:w="1624"/>
            <w:vAlign w:val="center"/>
          </w:tcPr>
          <w:p>
            <w:pPr>
              <w:jc w:val="center"/>
            </w:pPr>
            <w:r/>
            <w:r>
              <w:rPr>
                <w:rFonts w:ascii="맑은 고딕" w:hAnsi="맑은 고딕" w:eastAsia="맑은 고딕"/>
                <w:b w:val="0"/>
                <w:sz w:val="18"/>
              </w:rPr>
              <w:t>LLM과 키워드 기준 모두 낮음</w:t>
            </w:r>
          </w:p>
        </w:tc>
      </w:tr>
    </w:tbl>
    <w:p/>
    <w:p>
      <w:pPr>
        <w:spacing w:line="348" w:lineRule="auto" w:after="60"/>
        <w:ind w:firstLine="425"/>
      </w:pPr>
      <w:r>
        <w:rPr>
          <w:rFonts w:ascii="맑은 고딕" w:hAnsi="맑은 고딕" w:eastAsia="맑은 고딕"/>
          <w:sz w:val="21"/>
        </w:rPr>
        <w:t>6차년도 분석은 주 분석보다 더 단순한 단일 wave 기준을 제공하지만, 일부 공변량의 결측과 표본 축소가 있었다. 특히 청소년 한국어 능력 공변량은 여러 청소년 척도에서 결측이 많았고, 청소년 문화적응 스트레스 척도는 유효 응답자 수가 상대적으로 작았다. 따라서 6차년도 결과는 주 분석을 대체하기보다 민감도 분석으로 해석하는 것이 적절하다. 그럼에도 6차년도 분석에서도 LLM이 키워드 기준을 일관되게 능가하지 못했다는 점은 본 연구의 주요 결론과 일치한다. LLM 산출물은 단독 판정 근거가 아니라, 키워드 비교 기준과 경험적 선별 결과에 비추어 검토해야 할 후보 가설로 다루어져야 한다.</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