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80"/>
        <w:outlineLvl w:val="0"/>
      </w:pPr>
      <w:r>
        <w:rPr>
          <w:rFonts w:eastAsia="Malgun Gothic" w:ascii="Arial" w:hAnsi="Arial"/>
          <w:b/>
          <w:sz w:val="32"/>
        </w:rPr>
        <w:t>1. 서론</w:t>
      </w:r>
    </w:p>
    <w:p>
      <w:pPr>
        <w:spacing w:before="0" w:after="120" w:line="360" w:lineRule="auto"/>
        <w:jc w:val="both"/>
      </w:pPr>
      <w:r>
        <w:rPr>
          <w:rFonts w:eastAsia="Malgun Gothic" w:ascii="Times New Roman" w:hAnsi="Times New Roman"/>
          <w:sz w:val="22"/>
        </w:rPr>
        <w:t>집단과 시점을 비교하는 연구는 하나의 전제 위에 선다. 측정도구가 비교 대상 전반에서 같은 의미로 작동해야 한다는 전제다. 이 조건이 흔들리면 평균 차이, 성장 양상, 예측 경로의 차이는 모두 불안정한 해석 위에 놓인다. 다문화 청소년과 부모를 장기간 추적하는 패널 자료에서는 이 문제가 더 뚜렷하다. 한국어 능력, 차별 경험, 가구소득, 성별, 연령은 응답자의 삶을 구성하는 조건이면서 동시에 문항을 이해하고 해석하고 응답하는 방식에 영향을 미치는 조건이다. 따라서 관찰된 점수 차이가 잠재특성의 실제 차이에서 비롯된 것인지, 특정 응답자에게 문항이 다르게 기능한 결과인지 구분해야 한다. 이것이 측정동일성과 차별기능문항(differential item functioning, DIF) 논의의 핵심이다(Meredith, 1993; Vandenberg &amp; Lance, 2000).</w:t>
      </w:r>
    </w:p>
    <w:p>
      <w:pPr>
        <w:spacing w:before="0" w:after="120" w:line="360" w:lineRule="auto"/>
        <w:jc w:val="both"/>
      </w:pPr>
      <w:r>
        <w:rPr>
          <w:rFonts w:eastAsia="Malgun Gothic" w:ascii="Times New Roman" w:hAnsi="Times New Roman"/>
          <w:sz w:val="22"/>
        </w:rPr>
        <w:t>이 문제는 다문화청소년패널(Multicultural Adolescents Panel Study, MAPS)에서 구체적인 형태를 갖는다. MAPS는 다문화 청소년과 보호자를 반복 조사하며, 언어 능력, 문화적응, 이중문화수용, 차별 경험, 가족 자원, 학교 맥락, 심리사회적 적응을 함께 다룬다(한국청소년정책연구원, n.d.). 이때 한국어 능력과 차별 경험은 단순한 배경 변수가 아니다. 한국어 능력은 한국어 문항의 wording과 응답 범주를 처리하는 과정에 직접 관여할 수 있고, 차별 경험은 문화적응 스트레스와 자아존중감 같은 구인의 실제 수준을 설명하면서도 일부 문항 내용과 직접 겹칠 수 있다(Kim et al., 2023; Han, 2023). 가구소득, 성별, 연령 역시 가족 자원, 또래 관계, 발달 단계와 연결되지만, 이러한 관련성이 곧 문항 기능 차이를 뜻하지는 않는다. 따라서 이들 공변량 주변에서는 잠재특성의 실제 차이와 문항 기능 차이를 더 조심스럽게 구분해야 한다.</w:t>
      </w:r>
    </w:p>
    <w:p>
      <w:pPr>
        <w:spacing w:before="0" w:after="120" w:line="360" w:lineRule="auto"/>
        <w:jc w:val="both"/>
      </w:pPr>
      <w:r>
        <w:rPr>
          <w:rFonts w:eastAsia="Malgun Gothic" w:ascii="Times New Roman" w:hAnsi="Times New Roman"/>
          <w:sz w:val="22"/>
        </w:rPr>
        <w:t>DIF는 동일한 잠재특성 수준에 있는 응답자가 집단이나 공변량에 따라 특정 문항에 다르게 반응하는 현상을 가리킨다. 여기서 impact와 DIF의 구분이 중요하다. Impact는 공변량에 따른 잠재특성 분포의 실제 차이다. DIF는 같은 잠재특성 수준에서도 문항 기능이 달라지는 현상이다. 이 둘을 구분하지 못하면 실제 차이를 측정 오류로 읽거나, 측정 기능의 차이를 실질적 차이로 해석하게 된다. 문화적응 스트레스, 이중문화수용, 자아존중감처럼 사회적 경험과 자기해석이 문항 의미에 깊게 관여하는 구인에서는 이 위험이 특히 크다.</w:t>
      </w:r>
    </w:p>
    <w:p>
      <w:pPr>
        <w:spacing w:before="0" w:after="120" w:line="360" w:lineRule="auto"/>
        <w:jc w:val="both"/>
      </w:pPr>
      <w:r>
        <w:rPr>
          <w:rFonts w:eastAsia="Malgun Gothic" w:ascii="Times New Roman" w:hAnsi="Times New Roman"/>
          <w:sz w:val="22"/>
        </w:rPr>
        <w:t>심리측정학은 DIF를 탐지하기 위한 여러 방법을 발전시켜 왔다. Mantel-Haenszel 절차, 로지스틱 회귀, 문항반응이론 기반 접근, 요인분석 기반 접근은 모두 잠재특성 수준을 조건화한 뒤 문항 반응의 차이를 확인하는 분석 도구다(Millsap &amp; Everson, 1993; Hidalgo-Montesinos et al., 2020). 여러 배경변수가 동시에 작용하는 자료에서는 조절 비선형 요인분석(moderated nonlinear factor analysis, MNLFA)이 특히 유용하다. MNLFA는 잠재요인의 평균과 분산에 대한 공변량 효과뿐 아니라 문항 절편, threshold, 부하량에 대한 공변량 효과를 같은 모형 안에서 추정한다(Curran et al., 2014; Bauer, 2017; Bauer et al., 2020). 이를 통해 공변량이 잠재특성 자체에 미치는 영향과 문항 기능에 미치는 영향을 하나의 framework 안에서 구분할 수 있다.</w:t>
      </w:r>
    </w:p>
    <w:p>
      <w:pPr>
        <w:spacing w:before="0" w:after="120" w:line="360" w:lineRule="auto"/>
        <w:jc w:val="both"/>
      </w:pPr>
      <w:r>
        <w:rPr>
          <w:rFonts w:eastAsia="Malgun Gothic" w:ascii="Times New Roman" w:hAnsi="Times New Roman"/>
          <w:sz w:val="22"/>
        </w:rPr>
        <w:t>그러나 통계적 탐지는 해석을 끝내지 않는다. DIF flag는 검토가 필요한 문항을 가리키지만, 차이가 왜 발생했는지는 설명하지 않는다. 그 차이가 문항 wording에서 비롯된 것인지, 응답 과정의 차이인지, 구인과 관련된 정당한 내용 차이인지, 실제 비교 결론을 왜곡할 만큼 큰 차이인지는 별도로 판단해야 한다. DIF는 문항 편향이나 불공정성의 자동 판정 기준이 아니다(Ackerman, 1992; Clauser &amp; Mazor, 1998). Cheng, Chen, Shih(2020)가 제시하듯 DIF 원천 탐색은 통계적 detection 뒤에 붙는 부가 절차가 아니라, 문항 내용과 가능한 원인을 함께 검토하는 독립적인 연구 과제다.</w:t>
      </w:r>
    </w:p>
    <w:p>
      <w:pPr>
        <w:spacing w:before="0" w:after="120" w:line="360" w:lineRule="auto"/>
        <w:jc w:val="both"/>
      </w:pPr>
      <w:r>
        <w:rPr>
          <w:rFonts w:eastAsia="Malgun Gothic" w:ascii="Times New Roman" w:hAnsi="Times New Roman"/>
          <w:sz w:val="22"/>
        </w:rPr>
        <w:t>문항 수와 공변량 수가 늘어날수록 이 해석 작업의 부담은 급격히 커진다. 연구자가 검토해야 하는 단위는 개별 문항이 아니라 문항-공변량 조합이기 때문이다. 모든 조합을 전문가가 같은 깊이로 읽고, 가능한 DIF 메커니즘을 일관된 기준으로 정리하기는 어렵다. 단순 키워드 접근은 표면 단서가 뚜렷한 경우에 유용하다. 예컨대 차별, 무시, 외국인, 언어와 같은 단어가 문항에 드러나면 해당 문항과 관련 공변량의 연결을 빠르게 의심할 수 있다. 그러나 DIF 가능성은 언제나 단어 표면에 놓여 있지 않다. 한국어 능력처럼 문항 이해, 사회적 상호작용, 문화적 맥락을 거쳐 간접적으로 작동하는 공변량은 단순한 단어 일치만으로 포착되기 어렵다. 대규모 문항-공변량 공간에서는 표면 단서를 넘어 의미적 연결을 읽고, 검증 가능한 후보 가설을 재현 가능한 방식으로 생성하는 절차가 필요하다.</w:t>
      </w:r>
    </w:p>
    <w:p>
      <w:pPr>
        <w:spacing w:before="0" w:after="120" w:line="360" w:lineRule="auto"/>
        <w:jc w:val="both"/>
      </w:pPr>
      <w:r>
        <w:rPr>
          <w:rFonts w:eastAsia="Malgun Gothic" w:ascii="Times New Roman" w:hAnsi="Times New Roman"/>
          <w:sz w:val="22"/>
        </w:rPr>
        <w:t>본 연구는 이 지점을 평가하기 위해 keyword baseline을 명시적인 비교 기준으로 둔다. Keyword baseline은 문항 텍스트에 공변량 관련 핵심어가 직접 등장하는지를 점수화하는 규칙 기반 기준이다. 이 기준은 경험적 DIF 결과, 응답 분포, 문항 통계량, LLM 출력을 사용하지 않는다. 따라서 keyword baseline은 LLM이 단순한 단어 겹침을 넘어서는 의미 판단을 제공하는지 확인하기 위한 최소 경쟁 기준이다. 특히 차별 경험처럼 표면 어휘 단서가 강한 공변량에서는 keyword baseline도 높은 우선순위화 성능을 보일 수 있다. 반대로 한국어 능력처럼 문항 이해와 문화적 맥락을 통해 간접적으로 작동하는 공변량에서는 단순 키워드보다 넓은 의미 판단이 필요할 수 있다.</w:t>
      </w:r>
    </w:p>
    <w:p>
      <w:pPr>
        <w:spacing w:before="0" w:after="120" w:line="360" w:lineRule="auto"/>
        <w:jc w:val="both"/>
      </w:pPr>
      <w:r>
        <w:rPr>
          <w:rFonts w:eastAsia="Malgun Gothic" w:ascii="Times New Roman" w:hAnsi="Times New Roman"/>
          <w:sz w:val="22"/>
        </w:rPr>
        <w:t>대규모 언어모형(large language model, LLM)은 이 절차를 보조할 수 있는 도구다. LLM은 문항 문장, 구인 설명, 응답 범주, 공변량 정의를 함께 입력받고, 그 사이의 의미적 연결을 서술하도록 설계될 수 있다. 이 기능은 DIF 판정보다 사전 선별에 더 적합하다. 경험적 DIF 결과를 보지 않은 상태에서 LLM이 각 문항-공변량 조합의 threshold DIF 가능성, 예상 방향, 판단 근거를 제시한다면, 연구자는 후속 ordinal DIF 분석이나 MNLFA-style validation에서 우선 검토할 대상을 좁힐 수 있다. 이때 LLM의 출력은 결론이 아니라 검증 대상인 가설이다.</w:t>
      </w:r>
    </w:p>
    <w:p>
      <w:pPr>
        <w:spacing w:before="0" w:after="120" w:line="360" w:lineRule="auto"/>
        <w:jc w:val="both"/>
      </w:pPr>
      <w:r>
        <w:rPr>
          <w:rFonts w:eastAsia="Malgun Gothic" w:ascii="Times New Roman" w:hAnsi="Times New Roman"/>
          <w:sz w:val="22"/>
        </w:rPr>
        <w:t>선행연구는 이 가능성의 일부를 이미 보여주었다. Transformer 기반 언어모형은 심리측정 문항 생성과 검토에 사용되기 시작했으며(Hommel et al., 2022; Attali et al., 2022), AI가 생성한 문항도 인간이 만든 문항과 마찬가지로 fairness와 DIF 검토를 거쳐야 한다는 논의가 제기되었다(Belzak et al., 2023). DIF와 더 직접적으로 연결된 연구로 Maeda와 Lu(2025)는 encoder 기반 transformer 모형을 사용해 문항 텍스트에서 경험적 DIF를 예측하고, explainable AI를 통해 DIF 관련 단어를 탐색했다. Li, Marchong, Aldib(2024)는 ChatGPT 판단을 경험적 lordif 결과와 비교한 work-in-progress 연구를 제시했다. 본 연구는 이러한 흐름 위에서 생성형 LLM의 근거 제시형 출력을 다문화 패널 자료의 문항-공변량 단위 가설로 구조화하고, 이를 keyword baseline 및 경험적 screening 결과와 비교한다.</w:t>
      </w:r>
    </w:p>
    <w:p>
      <w:pPr>
        <w:spacing w:before="0" w:after="120" w:line="360" w:lineRule="auto"/>
        <w:jc w:val="both"/>
      </w:pPr>
      <w:r>
        <w:rPr>
          <w:rFonts w:eastAsia="Malgun Gothic" w:ascii="Times New Roman" w:hAnsi="Times New Roman"/>
          <w:sz w:val="22"/>
        </w:rPr>
        <w:t>이 접근은 엄격한 제한 조건을 요구한다. LLM은 자연스러운 설명을 빠르게 만들지만, 그 설명이 곧 심리측정 근거가 되는 것은 아니다. 모형은 잠재특성의 실제 차이를 문항 기능의 차이처럼 서술할 수 있고, 문항에 직접 단서가 없어도 연령이나 성별에 대해 그럴듯한 설명을 생성할 수 있다. 반대로 경험적 DIF가 존재하더라도 표면 의미가 약하면 낮은 가능성을 부여할 수 있다. LLM 연구 일반에서도 hallucination, 폐쇄형 모델의 재현성, 감사 가능성 문제가 지속적으로 제기되어 왔다(Farquhar et al., 2024; Palmer et al., 2024). 따라서 LLM-DIF 절차는 경험적 label을 숨긴 상태의 생성, prompt와 raw response의 보존, baseline과의 비교, 후속 심리측정 검증을 기본 조건으로 포함해야 한다.</w:t>
      </w:r>
    </w:p>
    <w:p>
      <w:pPr>
        <w:spacing w:before="0" w:after="120" w:line="360" w:lineRule="auto"/>
        <w:jc w:val="both"/>
      </w:pPr>
      <w:r>
        <w:rPr>
          <w:rFonts w:eastAsia="Malgun Gothic" w:ascii="Times New Roman" w:hAnsi="Times New Roman"/>
          <w:sz w:val="22"/>
        </w:rPr>
        <w:t>같은 이유로 LLM rationale은 DIF 원인에 대한 증거가 아니라, LLM이 문항과 공변량 사이의 의미적 연결을 어떻게 구성하는지 보여주는 분석 자료로 다룬다. 본 연구는 문항 wording, 응답 과정, 문화·언어 맥락에 근거한 rationale과, 잠재특성의 실제 차이를 threshold DIF로 오인하거나 성별·연령·소득에 대한 일반적 서사를 문항 기능 차이로 과잉해석하는 rationale을 구분한다. 이 구분은 LLM을 더 강한 판정자로 만들기 위한 절차가 아니다. LLM이 어떤 조건에서 유용한 후보 가설을 만들고, 어떤 조건에서 심리측정적으로 부적절한 설명을 생성하는지 확인하기 위한 장치다.</w:t>
      </w:r>
    </w:p>
    <w:p>
      <w:pPr>
        <w:spacing w:before="0" w:after="120" w:line="360" w:lineRule="auto"/>
        <w:jc w:val="both"/>
      </w:pPr>
      <w:r>
        <w:rPr>
          <w:rFonts w:eastAsia="Malgun Gothic" w:ascii="Times New Roman" w:hAnsi="Times New Roman"/>
          <w:sz w:val="22"/>
        </w:rPr>
        <w:t>본 연구의 목적은 MAPS 문항을 대상으로, 경험적 DIF 결과를 보지 않은 LLM이 문항-공변량 조합별 threshold DIF 후보 가설을 생성할 수 있는지 평가하는 데 있다. 분석 단위는 문항-공변량 조합이다. Gemini 모형은 각 조합에 대해 문항 문장, 구인 맥락, 응답 범주, 공변량 정의를 입력받고, threshold DIF 가능성, 예상 방향, 확신도, 판단 근거를 산출한다. 이 산출물은 keyword baseline 및 provisional ordinal DIF screening 결과와 비교된다. 평가는 최종 분류 정확도보다 우선순위화 성능에 초점을 둔다. 핵심은 연구자가 먼저 검토해야 할 후보를 LLM이 더 앞쪽에 배치할 수 있는지에 있다.</w:t>
      </w:r>
    </w:p>
    <w:p>
      <w:pPr>
        <w:spacing w:before="0" w:after="120" w:line="360" w:lineRule="auto"/>
        <w:jc w:val="both"/>
      </w:pPr>
      <w:r>
        <w:rPr>
          <w:rFonts w:eastAsia="Malgun Gothic" w:ascii="Times New Roman" w:hAnsi="Times New Roman"/>
          <w:sz w:val="22"/>
        </w:rPr>
        <w:t>본 연구는 네 가지 질문을 다룬다. 첫째, LLM은 경험적 DIF 결과를 보지 않은 상태에서 문항-공변량 조합별 DIF 후보 가설을 구조화된 형태로 생성할 수 있는가. 둘째, LLM의 가능성 점수는 keyword baseline보다 provisional empirical DIF 후보를 더 잘 우선순위화하는가. 셋째, 이 성능은 공변량의 성격에 따라 달라지는가. 차별 경험, 한국어 능력, 가구소득, 연령, 성별은 서로 다른 의미 연결과 오류 가능성을 가진다. 넷째, LLM은 어떤 조건에서 실패하는가. 특히 잠재특성 차이와 문항 기능 차이의 경계에서 어떤 혼동을 보이는가.</w:t>
      </w:r>
    </w:p>
    <w:p>
      <w:pPr>
        <w:spacing w:before="0" w:after="120" w:line="360" w:lineRule="auto"/>
        <w:jc w:val="both"/>
      </w:pPr>
      <w:r>
        <w:rPr>
          <w:rFonts w:eastAsia="Malgun Gothic" w:ascii="Times New Roman" w:hAnsi="Times New Roman"/>
          <w:sz w:val="22"/>
        </w:rPr>
        <w:t>이 논문의 기여는 새로운 DIF 검정법의 제안보다 검증 앞단의 가설 생성 절차에 있다. LLM은 문항과 공변량 사이의 의미적 연결을 읽어 후보 가설을 만들고, keyword baseline은 그 연결이 표면 단어만으로 설명되는지 점검하는 비교 기준을 제공한다. Ordinal DIF screening과 후속 MNLFA-style validation은 그 가설이 실제 측정 기능 차이와 연결되는지 평가한다. 이 분업 속에서 LLM은 답을 확정하지 않는다. 후보 공간을 좁히고, 의미 기반 추론이 심리측정 검증과 만나는 지점과 어긋나는 지점을 드러낸다.</w:t>
      </w:r>
    </w:p>
    <w:p>
      <w:pPr>
        <w:spacing w:before="280" w:after="180"/>
        <w:outlineLvl w:val="0"/>
      </w:pPr>
      <w:r>
        <w:rPr>
          <w:rFonts w:eastAsia="Malgun Gothic" w:ascii="Arial" w:hAnsi="Arial"/>
          <w:b/>
          <w:sz w:val="32"/>
        </w:rPr>
        <w:t>2. 연구방법</w:t>
      </w:r>
    </w:p>
    <w:p>
      <w:pPr>
        <w:spacing w:before="240" w:after="120"/>
        <w:outlineLvl w:val="1"/>
      </w:pPr>
      <w:r>
        <w:rPr>
          <w:rFonts w:eastAsia="Malgun Gothic" w:ascii="Arial" w:hAnsi="Arial"/>
          <w:b/>
          <w:sz w:val="26"/>
        </w:rPr>
        <w:t>2.1 자료 및 분석 범위</w:t>
      </w:r>
    </w:p>
    <w:p>
      <w:pPr>
        <w:spacing w:before="0" w:after="120" w:line="360" w:lineRule="auto"/>
        <w:jc w:val="both"/>
      </w:pPr>
      <w:r>
        <w:rPr>
          <w:rFonts w:eastAsia="Malgun Gothic" w:ascii="Times New Roman" w:hAnsi="Times New Roman"/>
          <w:sz w:val="22"/>
        </w:rPr>
        <w:t>본 연구는 다문화청소년패널조사(Multicultural Adolescents Panel Study, MAPS) 2기 패널 자료를 사용한다. 현재 분석 파이프라인은 2019년부터 2023년까지 수집된 1-5차년도 자료를 사용하며, 청소년 응답 자료와 보호자 응답 자료를 모두 포함한다. 6차년도 자료는 원자료 폴더에 존재하지만, 본 분석 스크립트에는 아직 포함하지 않았다. 따라서 본 연구의 직접 분석 범위는 MAPS 2기 1-5차년도 자료로 제한된다.</w:t>
      </w:r>
    </w:p>
    <w:tbl>
      <w:tblPr>
        <w:tblStyle w:val="TableGrid"/>
        <w:tblW w:w="0" w:type="auto"/>
        <w:tblLook w:val="04A0" w:firstRow="1" w:lastRow="0" w:firstColumn="0" w:lastColumn="0" w:noHBand="0" w:noVBand="1"/>
        <w:tblCellMar>
          <w:top w:w="80" w:type="dxa"/>
          <w:left w:w="100" w:type="dxa"/>
          <w:bottom w:w="80" w:type="dxa"/>
          <w:right w:w="100" w:type="dxa"/>
        </w:tblCellMar>
      </w:tblPr>
      <w:tr>
        <w:tc>
          <w:tcPr>
            <w:tcW w:w="0" w:type="auto"/>
            <w:tcMar>
              <w:top w:w="90" w:type="dxa"/>
              <w:left w:w="110" w:type="dxa"/>
              <w:bottom w:w="90" w:type="dxa"/>
              <w:right w:w="110" w:type="dxa"/>
            </w:tcMar>
            <w:shd w:val="clear" w:color="auto" w:fill="E8EEF7"/>
          </w:tcPr>
          <w:p>
            <w:pPr>
              <w:spacing w:after="0"/>
            </w:pPr>
            <w:r>
              <w:rPr>
                <w:rFonts w:eastAsia="Malgun Gothic" w:ascii="Arial" w:hAnsi="Arial"/>
                <w:b/>
                <w:sz w:val="18"/>
              </w:rPr>
              <w:t>항목</w:t>
            </w:r>
          </w:p>
        </w:tc>
        <w:tc>
          <w:tcPr>
            <w:tcW w:w="0" w:type="auto"/>
            <w:tcMar>
              <w:top w:w="90" w:type="dxa"/>
              <w:left w:w="110" w:type="dxa"/>
              <w:bottom w:w="90" w:type="dxa"/>
              <w:right w:w="110" w:type="dxa"/>
            </w:tcMar>
            <w:shd w:val="clear" w:color="auto" w:fill="E8EEF7"/>
          </w:tcPr>
          <w:p>
            <w:pPr>
              <w:spacing w:after="0"/>
            </w:pPr>
            <w:r>
              <w:rPr>
                <w:rFonts w:eastAsia="Malgun Gothic" w:ascii="Arial" w:hAnsi="Arial"/>
                <w:b/>
                <w:sz w:val="18"/>
              </w:rPr>
              <w:t>본 연구에서의 명시 내용</w:t>
            </w:r>
          </w:p>
        </w:tc>
      </w:tr>
      <w:tr>
        <w:tc>
          <w:tcPr>
            <w:tcW w:w="0" w:type="auto"/>
            <w:tcMar>
              <w:top w:w="90" w:type="dxa"/>
              <w:left w:w="110" w:type="dxa"/>
              <w:bottom w:w="90" w:type="dxa"/>
              <w:right w:w="110" w:type="dxa"/>
            </w:tcMar>
          </w:tcPr>
          <w:p>
            <w:pPr>
              <w:spacing w:after="0"/>
            </w:pPr>
            <w:r>
              <w:rPr>
                <w:rFonts w:eastAsia="Malgun Gothic" w:ascii="Arial" w:hAnsi="Arial"/>
                <w:sz w:val="18"/>
              </w:rPr>
              <w:t>자료</w:t>
            </w:r>
          </w:p>
        </w:tc>
        <w:tc>
          <w:tcPr>
            <w:tcW w:w="0" w:type="auto"/>
            <w:tcMar>
              <w:top w:w="90" w:type="dxa"/>
              <w:left w:w="110" w:type="dxa"/>
              <w:bottom w:w="90" w:type="dxa"/>
              <w:right w:w="110" w:type="dxa"/>
            </w:tcMar>
          </w:tcPr>
          <w:p>
            <w:pPr>
              <w:spacing w:after="0"/>
            </w:pPr>
            <w:r>
              <w:rPr>
                <w:rFonts w:eastAsia="Malgun Gothic" w:ascii="Arial" w:hAnsi="Arial"/>
                <w:sz w:val="18"/>
              </w:rPr>
              <w:t>MAPS 2기 패널, 1-5차년도 자료(2019-2023). 현재 파이프라인은 1-5차 CSV 파일만 읽는다.</w:t>
            </w:r>
          </w:p>
        </w:tc>
      </w:tr>
      <w:tr>
        <w:tc>
          <w:tcPr>
            <w:tcW w:w="0" w:type="auto"/>
            <w:tcMar>
              <w:top w:w="90" w:type="dxa"/>
              <w:left w:w="110" w:type="dxa"/>
              <w:bottom w:w="90" w:type="dxa"/>
              <w:right w:w="110" w:type="dxa"/>
            </w:tcMar>
          </w:tcPr>
          <w:p>
            <w:pPr>
              <w:spacing w:after="0"/>
            </w:pPr>
            <w:r>
              <w:rPr>
                <w:rFonts w:eastAsia="Malgun Gothic" w:ascii="Arial" w:hAnsi="Arial"/>
                <w:sz w:val="18"/>
              </w:rPr>
              <w:t>응답자</w:t>
            </w:r>
          </w:p>
        </w:tc>
        <w:tc>
          <w:tcPr>
            <w:tcW w:w="0" w:type="auto"/>
            <w:tcMar>
              <w:top w:w="90" w:type="dxa"/>
              <w:left w:w="110" w:type="dxa"/>
              <w:bottom w:w="90" w:type="dxa"/>
              <w:right w:w="110" w:type="dxa"/>
            </w:tcMar>
          </w:tcPr>
          <w:p>
            <w:pPr>
              <w:spacing w:after="0"/>
            </w:pPr>
            <w:r>
              <w:rPr>
                <w:rFonts w:eastAsia="Malgun Gothic" w:ascii="Arial" w:hAnsi="Arial"/>
                <w:sz w:val="18"/>
              </w:rPr>
              <w:t>청소년과 보호자 모두 포함. 청소년 문항에는 청소년 공변량을, 보호자 문항에는 보호자 공변량을 적용한다. 성별 공변량은 청소년 문항에만 적용한다.</w:t>
            </w:r>
          </w:p>
        </w:tc>
      </w:tr>
      <w:tr>
        <w:tc>
          <w:tcPr>
            <w:tcW w:w="0" w:type="auto"/>
            <w:tcMar>
              <w:top w:w="90" w:type="dxa"/>
              <w:left w:w="110" w:type="dxa"/>
              <w:bottom w:w="90" w:type="dxa"/>
              <w:right w:w="110" w:type="dxa"/>
            </w:tcMar>
          </w:tcPr>
          <w:p>
            <w:pPr>
              <w:spacing w:after="0"/>
            </w:pPr>
            <w:r>
              <w:rPr>
                <w:rFonts w:eastAsia="Malgun Gothic" w:ascii="Arial" w:hAnsi="Arial"/>
                <w:sz w:val="18"/>
              </w:rPr>
              <w:t>표본</w:t>
            </w:r>
          </w:p>
        </w:tc>
        <w:tc>
          <w:tcPr>
            <w:tcW w:w="0" w:type="auto"/>
            <w:tcMar>
              <w:top w:w="90" w:type="dxa"/>
              <w:left w:w="110" w:type="dxa"/>
              <w:bottom w:w="90" w:type="dxa"/>
              <w:right w:w="110" w:type="dxa"/>
            </w:tcMar>
          </w:tcPr>
          <w:p>
            <w:pPr>
              <w:spacing w:after="0"/>
            </w:pPr>
            <w:r>
              <w:rPr>
                <w:rFonts w:eastAsia="Malgun Gothic" w:ascii="Arial" w:hAnsi="Arial"/>
                <w:sz w:val="18"/>
              </w:rPr>
              <w:t>공식 2기 패널은 2019년 초등학교 4학년 다문화 청소년과 보호자를 대상으로 구축되었다. 현재 CSV 기준으로 청소년 파일은 각 wave 2,271행, 보호자 파일은 각 wave 2,249행이다. 분석에 사용된 scale-level 고유 응답자 수는 청소년 2,249명, 보호자 2,249명이다. 다만 보호자 문화적응 및 문화적응 스트레스 척도는 해당 문항이 적용되는 응답자 범위 때문에 2,191명으로 집계된다.</w:t>
            </w:r>
          </w:p>
        </w:tc>
      </w:tr>
      <w:tr>
        <w:tc>
          <w:tcPr>
            <w:tcW w:w="0" w:type="auto"/>
            <w:tcMar>
              <w:top w:w="90" w:type="dxa"/>
              <w:left w:w="110" w:type="dxa"/>
              <w:bottom w:w="90" w:type="dxa"/>
              <w:right w:w="110" w:type="dxa"/>
            </w:tcMar>
          </w:tcPr>
          <w:p>
            <w:pPr>
              <w:spacing w:after="0"/>
            </w:pPr>
            <w:r>
              <w:rPr>
                <w:rFonts w:eastAsia="Malgun Gothic" w:ascii="Arial" w:hAnsi="Arial"/>
                <w:sz w:val="18"/>
              </w:rPr>
              <w:t>분석 N</w:t>
            </w:r>
          </w:p>
        </w:tc>
        <w:tc>
          <w:tcPr>
            <w:tcW w:w="0" w:type="auto"/>
            <w:tcMar>
              <w:top w:w="90" w:type="dxa"/>
              <w:left w:w="110" w:type="dxa"/>
              <w:bottom w:w="90" w:type="dxa"/>
              <w:right w:w="110" w:type="dxa"/>
            </w:tcMar>
          </w:tcPr>
          <w:p>
            <w:pPr>
              <w:spacing w:after="0"/>
            </w:pPr>
            <w:r>
              <w:rPr>
                <w:rFonts w:eastAsia="Malgun Gothic" w:ascii="Arial" w:hAnsi="Arial"/>
                <w:sz w:val="18"/>
              </w:rPr>
              <w:t>Provisional ordinal DIF screening의 분석 N은 문항-공변량 조합별 complete-case 기준으로 달라진다. 전체 487개 screening model은 모두 정상 추정되었고, 조합별 N은 1,071-10,080 범위였다. 평균 N은 약 8,371이었다.</w:t>
            </w:r>
          </w:p>
        </w:tc>
      </w:tr>
      <w:tr>
        <w:tc>
          <w:tcPr>
            <w:tcW w:w="0" w:type="auto"/>
            <w:tcMar>
              <w:top w:w="90" w:type="dxa"/>
              <w:left w:w="110" w:type="dxa"/>
              <w:bottom w:w="90" w:type="dxa"/>
              <w:right w:w="110" w:type="dxa"/>
            </w:tcMar>
          </w:tcPr>
          <w:p>
            <w:pPr>
              <w:spacing w:after="0"/>
            </w:pPr>
            <w:r>
              <w:rPr>
                <w:rFonts w:eastAsia="Malgun Gothic" w:ascii="Arial" w:hAnsi="Arial"/>
                <w:sz w:val="18"/>
              </w:rPr>
              <w:t>구인</w:t>
            </w:r>
          </w:p>
        </w:tc>
        <w:tc>
          <w:tcPr>
            <w:tcW w:w="0" w:type="auto"/>
            <w:tcMar>
              <w:top w:w="90" w:type="dxa"/>
              <w:left w:w="110" w:type="dxa"/>
              <w:bottom w:w="90" w:type="dxa"/>
              <w:right w:w="110" w:type="dxa"/>
            </w:tcMar>
          </w:tcPr>
          <w:p>
            <w:pPr>
              <w:spacing w:after="0"/>
            </w:pPr>
            <w:r>
              <w:rPr>
                <w:rFonts w:eastAsia="Malgun Gothic" w:ascii="Arial" w:hAnsi="Arial"/>
                <w:sz w:val="18"/>
              </w:rPr>
              <w:t>보호자: 문화적응, 문화적응 스트레스, 양육효능감, 자아존중감. 청소년: 문화적응 스트레스, 이중문화수용, 걱정, 국가정체성, 삶의 만족, 부모 지지, 부모-자녀 관계, 친구 지지, 교사 지지, 따돌림 피해.</w:t>
            </w:r>
          </w:p>
        </w:tc>
      </w:tr>
      <w:tr>
        <w:tc>
          <w:tcPr>
            <w:tcW w:w="0" w:type="auto"/>
            <w:tcMar>
              <w:top w:w="90" w:type="dxa"/>
              <w:left w:w="110" w:type="dxa"/>
              <w:bottom w:w="90" w:type="dxa"/>
              <w:right w:w="110" w:type="dxa"/>
            </w:tcMar>
          </w:tcPr>
          <w:p>
            <w:pPr>
              <w:spacing w:after="0"/>
            </w:pPr>
            <w:r>
              <w:rPr>
                <w:rFonts w:eastAsia="Malgun Gothic" w:ascii="Arial" w:hAnsi="Arial"/>
                <w:sz w:val="18"/>
              </w:rPr>
              <w:t>문항</w:t>
            </w:r>
          </w:p>
        </w:tc>
        <w:tc>
          <w:tcPr>
            <w:tcW w:w="0" w:type="auto"/>
            <w:tcMar>
              <w:top w:w="90" w:type="dxa"/>
              <w:left w:w="110" w:type="dxa"/>
              <w:bottom w:w="90" w:type="dxa"/>
              <w:right w:w="110" w:type="dxa"/>
            </w:tcMar>
          </w:tcPr>
          <w:p>
            <w:pPr>
              <w:spacing w:after="0"/>
            </w:pPr>
            <w:r>
              <w:rPr>
                <w:rFonts w:eastAsia="Malgun Gothic" w:ascii="Arial" w:hAnsi="Arial"/>
                <w:sz w:val="18"/>
              </w:rPr>
              <w:t>전체 item pool은 105문항이다. 보호자 문항 38개, 청소년 문항 67개이다. 전체 문항-공변량 조합은 487개이다. Gemini pilot은 이 중 30문항을 대상으로 구성되었고, 현재 예비 결과는 24문항, 109개 문항-공변량 예측에 기반한다.</w:t>
            </w:r>
          </w:p>
        </w:tc>
      </w:tr>
      <w:tr>
        <w:tc>
          <w:tcPr>
            <w:tcW w:w="0" w:type="auto"/>
            <w:tcMar>
              <w:top w:w="90" w:type="dxa"/>
              <w:left w:w="110" w:type="dxa"/>
              <w:bottom w:w="90" w:type="dxa"/>
              <w:right w:w="110" w:type="dxa"/>
            </w:tcMar>
          </w:tcPr>
          <w:p>
            <w:pPr>
              <w:spacing w:after="0"/>
            </w:pPr>
            <w:r>
              <w:rPr>
                <w:rFonts w:eastAsia="Malgun Gothic" w:ascii="Arial" w:hAnsi="Arial"/>
                <w:sz w:val="18"/>
              </w:rPr>
              <w:t>응답 범주</w:t>
            </w:r>
          </w:p>
        </w:tc>
        <w:tc>
          <w:tcPr>
            <w:tcW w:w="0" w:type="auto"/>
            <w:tcMar>
              <w:top w:w="90" w:type="dxa"/>
              <w:left w:w="110" w:type="dxa"/>
              <w:bottom w:w="90" w:type="dxa"/>
              <w:right w:w="110" w:type="dxa"/>
            </w:tcMar>
          </w:tcPr>
          <w:p>
            <w:pPr>
              <w:spacing w:after="0"/>
            </w:pPr>
            <w:r>
              <w:rPr>
                <w:rFonts w:eastAsia="Malgun Gothic" w:ascii="Arial" w:hAnsi="Arial"/>
                <w:sz w:val="18"/>
              </w:rPr>
              <w:t>분석 파일에서 관찰된 ordinal category를 사용한다. 전체 105문항 중 44문항은 1-5 범주, 61문항은 1-4 범주로 관찰되었다. Screening model에서는 대부분 4 또는 5개 범주가 사용되었고, 한 조합은 complete-case 이후 3개 범주만 남았다.</w:t>
            </w:r>
          </w:p>
        </w:tc>
      </w:tr>
      <w:tr>
        <w:tc>
          <w:tcPr>
            <w:tcW w:w="0" w:type="auto"/>
            <w:tcMar>
              <w:top w:w="90" w:type="dxa"/>
              <w:left w:w="110" w:type="dxa"/>
              <w:bottom w:w="90" w:type="dxa"/>
              <w:right w:w="110" w:type="dxa"/>
            </w:tcMar>
          </w:tcPr>
          <w:p>
            <w:pPr>
              <w:spacing w:after="0"/>
            </w:pPr>
            <w:r>
              <w:rPr>
                <w:rFonts w:eastAsia="Malgun Gothic" w:ascii="Arial" w:hAnsi="Arial"/>
                <w:sz w:val="18"/>
              </w:rPr>
              <w:t>역문항</w:t>
            </w:r>
          </w:p>
        </w:tc>
        <w:tc>
          <w:tcPr>
            <w:tcW w:w="0" w:type="auto"/>
            <w:tcMar>
              <w:top w:w="90" w:type="dxa"/>
              <w:left w:w="110" w:type="dxa"/>
              <w:bottom w:w="90" w:type="dxa"/>
              <w:right w:w="110" w:type="dxa"/>
            </w:tcMar>
          </w:tcPr>
          <w:p>
            <w:pPr>
              <w:spacing w:after="0"/>
            </w:pPr>
            <w:r>
              <w:rPr>
                <w:rFonts w:eastAsia="Malgun Gothic" w:ascii="Arial" w:hAnsi="Arial"/>
                <w:sz w:val="18"/>
              </w:rPr>
              <w:t>Screening 단계에서 일부 문항은 scale score 방향을 맞추기 위해 reverse-key 후보로 처리했다. 현재 reverse 후보는 p_esteem_03, p_esteem_05, p_esteem_08, p_esteem_09, p_efficacy_08, parenting_b01-parenting_b05이다. 최종 원고에서는 MAPS codebook과 대조해 역문항 여부를 확정한다.</w:t>
            </w:r>
          </w:p>
        </w:tc>
      </w:tr>
      <w:tr>
        <w:tc>
          <w:tcPr>
            <w:tcW w:w="0" w:type="auto"/>
            <w:tcMar>
              <w:top w:w="90" w:type="dxa"/>
              <w:left w:w="110" w:type="dxa"/>
              <w:bottom w:w="90" w:type="dxa"/>
              <w:right w:w="110" w:type="dxa"/>
            </w:tcMar>
          </w:tcPr>
          <w:p>
            <w:pPr>
              <w:spacing w:after="0"/>
            </w:pPr>
            <w:r>
              <w:rPr>
                <w:rFonts w:eastAsia="Malgun Gothic" w:ascii="Arial" w:hAnsi="Arial"/>
                <w:sz w:val="18"/>
              </w:rPr>
              <w:t>제외 문항</w:t>
            </w:r>
          </w:p>
        </w:tc>
        <w:tc>
          <w:tcPr>
            <w:tcW w:w="0" w:type="auto"/>
            <w:tcMar>
              <w:top w:w="90" w:type="dxa"/>
              <w:left w:w="110" w:type="dxa"/>
              <w:bottom w:w="90" w:type="dxa"/>
              <w:right w:w="110" w:type="dxa"/>
            </w:tcMar>
          </w:tcPr>
          <w:p>
            <w:pPr>
              <w:spacing w:after="0"/>
            </w:pPr>
            <w:r>
              <w:rPr>
                <w:rFonts w:eastAsia="Malgun Gothic" w:ascii="Arial" w:hAnsi="Arial"/>
                <w:sz w:val="18"/>
              </w:rPr>
              <w:t>청소년 걱정 척도의 s_worry_01은 1차년도에서는 직접 비교 가능하지만 2-5차년도에서 s_worry_01_1, s_worry_01_2로 분리되어 반복측정 비교성이 낮아 제외했다. 그 외 item pool의 105문항은 모두 user guide 기반 문항 텍스트가 채워진 상태다.</w:t>
            </w:r>
          </w:p>
        </w:tc>
      </w:tr>
      <w:tr>
        <w:tc>
          <w:tcPr>
            <w:tcW w:w="0" w:type="auto"/>
            <w:tcMar>
              <w:top w:w="90" w:type="dxa"/>
              <w:left w:w="110" w:type="dxa"/>
              <w:bottom w:w="90" w:type="dxa"/>
              <w:right w:w="110" w:type="dxa"/>
            </w:tcMar>
          </w:tcPr>
          <w:p>
            <w:pPr>
              <w:spacing w:after="0"/>
            </w:pPr>
            <w:r>
              <w:rPr>
                <w:rFonts w:eastAsia="Malgun Gothic" w:ascii="Arial" w:hAnsi="Arial"/>
                <w:sz w:val="18"/>
              </w:rPr>
              <w:t>결측</w:t>
            </w:r>
          </w:p>
        </w:tc>
        <w:tc>
          <w:tcPr>
            <w:tcW w:w="0" w:type="auto"/>
            <w:tcMar>
              <w:top w:w="90" w:type="dxa"/>
              <w:left w:w="110" w:type="dxa"/>
              <w:bottom w:w="90" w:type="dxa"/>
              <w:right w:w="110" w:type="dxa"/>
            </w:tcMar>
          </w:tcPr>
          <w:p>
            <w:pPr>
              <w:spacing w:after="0"/>
            </w:pPr>
            <w:r>
              <w:rPr>
                <w:rFonts w:eastAsia="Malgun Gothic" w:ascii="Arial" w:hAnsi="Arial"/>
                <w:sz w:val="18"/>
              </w:rPr>
              <w:t>문항 pool 생성 단계에서는 문항 응답이 결측인 row를 제외한다. Provisional ordinal DIF screening에서는 resp_model, leave-one-out theta_proxy, wave, 해당 공변량이 모두 관찰된 complete cases만 사용한다. 현재 분석은 listwise/complete-case screening이며, FIML 또는 multiple imputation은 사용하지 않았다.</w:t>
            </w:r>
          </w:p>
        </w:tc>
      </w:tr>
      <w:tr>
        <w:tc>
          <w:tcPr>
            <w:tcW w:w="0" w:type="auto"/>
            <w:tcMar>
              <w:top w:w="90" w:type="dxa"/>
              <w:left w:w="110" w:type="dxa"/>
              <w:bottom w:w="90" w:type="dxa"/>
              <w:right w:w="110" w:type="dxa"/>
            </w:tcMar>
          </w:tcPr>
          <w:p>
            <w:pPr>
              <w:spacing w:after="0"/>
            </w:pPr>
            <w:r>
              <w:rPr>
                <w:rFonts w:eastAsia="Malgun Gothic" w:ascii="Arial" w:hAnsi="Arial"/>
                <w:sz w:val="18"/>
              </w:rPr>
              <w:t>가중치</w:t>
            </w:r>
          </w:p>
        </w:tc>
        <w:tc>
          <w:tcPr>
            <w:tcW w:w="0" w:type="auto"/>
            <w:tcMar>
              <w:top w:w="90" w:type="dxa"/>
              <w:left w:w="110" w:type="dxa"/>
              <w:bottom w:w="90" w:type="dxa"/>
              <w:right w:w="110" w:type="dxa"/>
            </w:tcMar>
          </w:tcPr>
          <w:p>
            <w:pPr>
              <w:spacing w:after="0"/>
            </w:pPr>
            <w:r>
              <w:rPr>
                <w:rFonts w:eastAsia="Malgun Gothic" w:ascii="Arial" w:hAnsi="Arial"/>
                <w:sz w:val="18"/>
              </w:rPr>
              <w:t>현재 provisional screening과 LLM ranking 평가에는 가중치를 사용하지 않았다. 이유는 본 단계가 모집단 평균 추정이 아니라 문항-공변량 후보 가설의 예비 우선순위화에 초점을 두기 때문이다. 다만 MAPS는 복합표본 패널 자료이므로, 최종 심리측정 검증 또는 대표성 있는 추정치를 보고하는 분석에서는 종단가중치 적용 여부를 별도 민감도 분석으로 확인해야 한다.</w:t>
            </w:r>
          </w:p>
        </w:tc>
      </w:tr>
    </w:tbl>
    <w:p>
      <w:pPr>
        <w:spacing w:before="0" w:after="120" w:line="360" w:lineRule="auto"/>
        <w:jc w:val="both"/>
      </w:pPr>
      <w:r>
        <w:rPr>
          <w:rFonts w:eastAsia="Malgun Gothic" w:ascii="Times New Roman" w:hAnsi="Times New Roman"/>
          <w:sz w:val="22"/>
        </w:rPr>
        <w:t/>
      </w:r>
    </w:p>
    <w:p>
      <w:pPr>
        <w:spacing w:before="0" w:after="120" w:line="360" w:lineRule="auto"/>
        <w:jc w:val="both"/>
      </w:pPr>
      <w:r>
        <w:rPr>
          <w:rFonts w:eastAsia="Malgun Gothic" w:ascii="Times New Roman" w:hAnsi="Times New Roman"/>
          <w:sz w:val="22"/>
        </w:rPr>
        <w:t>구인별 문항 수는 다음과 같다.</w:t>
      </w:r>
    </w:p>
    <w:tbl>
      <w:tblPr>
        <w:tblStyle w:val="TableGrid"/>
        <w:tblW w:w="0" w:type="auto"/>
        <w:tblLook w:val="04A0" w:firstRow="1" w:lastRow="0" w:firstColumn="0" w:lastColumn="0" w:noHBand="0" w:noVBand="1"/>
        <w:tblCellMar>
          <w:top w:w="80" w:type="dxa"/>
          <w:left w:w="100" w:type="dxa"/>
          <w:bottom w:w="80" w:type="dxa"/>
          <w:right w:w="100" w:type="dxa"/>
        </w:tblCellMar>
      </w:tblPr>
      <w:tr>
        <w:tc>
          <w:tcPr>
            <w:tcW w:w="0" w:type="auto"/>
            <w:tcMar>
              <w:top w:w="90" w:type="dxa"/>
              <w:left w:w="110" w:type="dxa"/>
              <w:bottom w:w="90" w:type="dxa"/>
              <w:right w:w="110" w:type="dxa"/>
            </w:tcMar>
            <w:shd w:val="clear" w:color="auto" w:fill="E8EEF7"/>
          </w:tcPr>
          <w:p>
            <w:pPr>
              <w:spacing w:after="0"/>
            </w:pPr>
            <w:r>
              <w:rPr>
                <w:rFonts w:eastAsia="Malgun Gothic" w:ascii="Arial" w:hAnsi="Arial"/>
                <w:b/>
                <w:sz w:val="18"/>
              </w:rPr>
              <w:t>응답자</w:t>
            </w:r>
          </w:p>
        </w:tc>
        <w:tc>
          <w:tcPr>
            <w:tcW w:w="0" w:type="auto"/>
            <w:tcMar>
              <w:top w:w="90" w:type="dxa"/>
              <w:left w:w="110" w:type="dxa"/>
              <w:bottom w:w="90" w:type="dxa"/>
              <w:right w:w="110" w:type="dxa"/>
            </w:tcMar>
            <w:shd w:val="clear" w:color="auto" w:fill="E8EEF7"/>
          </w:tcPr>
          <w:p>
            <w:pPr>
              <w:spacing w:after="0"/>
            </w:pPr>
            <w:r>
              <w:rPr>
                <w:rFonts w:eastAsia="Malgun Gothic" w:ascii="Arial" w:hAnsi="Arial"/>
                <w:b/>
                <w:sz w:val="18"/>
              </w:rPr>
              <w:t>구인</w:t>
            </w:r>
          </w:p>
        </w:tc>
        <w:tc>
          <w:tcPr>
            <w:tcW w:w="0" w:type="auto"/>
            <w:tcMar>
              <w:top w:w="90" w:type="dxa"/>
              <w:left w:w="110" w:type="dxa"/>
              <w:bottom w:w="90" w:type="dxa"/>
              <w:right w:w="110" w:type="dxa"/>
            </w:tcMar>
            <w:shd w:val="clear" w:color="auto" w:fill="E8EEF7"/>
          </w:tcPr>
          <w:p>
            <w:pPr>
              <w:spacing w:after="0"/>
            </w:pPr>
            <w:r>
              <w:rPr>
                <w:rFonts w:eastAsia="Malgun Gothic" w:ascii="Arial" w:hAnsi="Arial"/>
                <w:b/>
                <w:sz w:val="18"/>
              </w:rPr>
              <w:t>문항 수</w:t>
            </w:r>
          </w:p>
        </w:tc>
      </w:tr>
      <w:tr>
        <w:tc>
          <w:tcPr>
            <w:tcW w:w="0" w:type="auto"/>
            <w:tcMar>
              <w:top w:w="90" w:type="dxa"/>
              <w:left w:w="110" w:type="dxa"/>
              <w:bottom w:w="90" w:type="dxa"/>
              <w:right w:w="110" w:type="dxa"/>
            </w:tcMar>
          </w:tcPr>
          <w:p>
            <w:pPr>
              <w:spacing w:after="0"/>
            </w:pPr>
            <w:r>
              <w:rPr>
                <w:rFonts w:eastAsia="Malgun Gothic" w:ascii="Arial" w:hAnsi="Arial"/>
                <w:sz w:val="18"/>
              </w:rPr>
              <w:t>보호자</w:t>
            </w:r>
          </w:p>
        </w:tc>
        <w:tc>
          <w:tcPr>
            <w:tcW w:w="0" w:type="auto"/>
            <w:tcMar>
              <w:top w:w="90" w:type="dxa"/>
              <w:left w:w="110" w:type="dxa"/>
              <w:bottom w:w="90" w:type="dxa"/>
              <w:right w:w="110" w:type="dxa"/>
            </w:tcMar>
          </w:tcPr>
          <w:p>
            <w:pPr>
              <w:spacing w:after="0"/>
            </w:pPr>
            <w:r>
              <w:rPr>
                <w:rFonts w:eastAsia="Malgun Gothic" w:ascii="Arial" w:hAnsi="Arial"/>
                <w:sz w:val="18"/>
              </w:rPr>
              <w:t>문화적응</w:t>
            </w:r>
          </w:p>
        </w:tc>
        <w:tc>
          <w:tcPr>
            <w:tcW w:w="0" w:type="auto"/>
            <w:tcMar>
              <w:top w:w="90" w:type="dxa"/>
              <w:left w:w="110" w:type="dxa"/>
              <w:bottom w:w="90" w:type="dxa"/>
              <w:right w:w="110" w:type="dxa"/>
            </w:tcMar>
          </w:tcPr>
          <w:p>
            <w:pPr>
              <w:spacing w:after="0"/>
            </w:pPr>
            <w:r>
              <w:rPr>
                <w:rFonts w:eastAsia="Malgun Gothic" w:ascii="Arial" w:hAnsi="Arial"/>
                <w:sz w:val="18"/>
              </w:rPr>
              <w:t>12</w:t>
            </w:r>
          </w:p>
        </w:tc>
      </w:tr>
      <w:tr>
        <w:tc>
          <w:tcPr>
            <w:tcW w:w="0" w:type="auto"/>
            <w:tcMar>
              <w:top w:w="90" w:type="dxa"/>
              <w:left w:w="110" w:type="dxa"/>
              <w:bottom w:w="90" w:type="dxa"/>
              <w:right w:w="110" w:type="dxa"/>
            </w:tcMar>
          </w:tcPr>
          <w:p>
            <w:pPr>
              <w:spacing w:after="0"/>
            </w:pPr>
            <w:r>
              <w:rPr>
                <w:rFonts w:eastAsia="Malgun Gothic" w:ascii="Arial" w:hAnsi="Arial"/>
                <w:sz w:val="18"/>
              </w:rPr>
              <w:t>보호자</w:t>
            </w:r>
          </w:p>
        </w:tc>
        <w:tc>
          <w:tcPr>
            <w:tcW w:w="0" w:type="auto"/>
            <w:tcMar>
              <w:top w:w="90" w:type="dxa"/>
              <w:left w:w="110" w:type="dxa"/>
              <w:bottom w:w="90" w:type="dxa"/>
              <w:right w:w="110" w:type="dxa"/>
            </w:tcMar>
          </w:tcPr>
          <w:p>
            <w:pPr>
              <w:spacing w:after="0"/>
            </w:pPr>
            <w:r>
              <w:rPr>
                <w:rFonts w:eastAsia="Malgun Gothic" w:ascii="Arial" w:hAnsi="Arial"/>
                <w:sz w:val="18"/>
              </w:rPr>
              <w:t>문화적응 스트레스</w:t>
            </w:r>
          </w:p>
        </w:tc>
        <w:tc>
          <w:tcPr>
            <w:tcW w:w="0" w:type="auto"/>
            <w:tcMar>
              <w:top w:w="90" w:type="dxa"/>
              <w:left w:w="110" w:type="dxa"/>
              <w:bottom w:w="90" w:type="dxa"/>
              <w:right w:w="110" w:type="dxa"/>
            </w:tcMar>
          </w:tcPr>
          <w:p>
            <w:pPr>
              <w:spacing w:after="0"/>
            </w:pPr>
            <w:r>
              <w:rPr>
                <w:rFonts w:eastAsia="Malgun Gothic" w:ascii="Arial" w:hAnsi="Arial"/>
                <w:sz w:val="18"/>
              </w:rPr>
              <w:t>8</w:t>
            </w:r>
          </w:p>
        </w:tc>
      </w:tr>
      <w:tr>
        <w:tc>
          <w:tcPr>
            <w:tcW w:w="0" w:type="auto"/>
            <w:tcMar>
              <w:top w:w="90" w:type="dxa"/>
              <w:left w:w="110" w:type="dxa"/>
              <w:bottom w:w="90" w:type="dxa"/>
              <w:right w:w="110" w:type="dxa"/>
            </w:tcMar>
          </w:tcPr>
          <w:p>
            <w:pPr>
              <w:spacing w:after="0"/>
            </w:pPr>
            <w:r>
              <w:rPr>
                <w:rFonts w:eastAsia="Malgun Gothic" w:ascii="Arial" w:hAnsi="Arial"/>
                <w:sz w:val="18"/>
              </w:rPr>
              <w:t>보호자</w:t>
            </w:r>
          </w:p>
        </w:tc>
        <w:tc>
          <w:tcPr>
            <w:tcW w:w="0" w:type="auto"/>
            <w:tcMar>
              <w:top w:w="90" w:type="dxa"/>
              <w:left w:w="110" w:type="dxa"/>
              <w:bottom w:w="90" w:type="dxa"/>
              <w:right w:w="110" w:type="dxa"/>
            </w:tcMar>
          </w:tcPr>
          <w:p>
            <w:pPr>
              <w:spacing w:after="0"/>
            </w:pPr>
            <w:r>
              <w:rPr>
                <w:rFonts w:eastAsia="Malgun Gothic" w:ascii="Arial" w:hAnsi="Arial"/>
                <w:sz w:val="18"/>
              </w:rPr>
              <w:t>양육효능감</w:t>
            </w:r>
          </w:p>
        </w:tc>
        <w:tc>
          <w:tcPr>
            <w:tcW w:w="0" w:type="auto"/>
            <w:tcMar>
              <w:top w:w="90" w:type="dxa"/>
              <w:left w:w="110" w:type="dxa"/>
              <w:bottom w:w="90" w:type="dxa"/>
              <w:right w:w="110" w:type="dxa"/>
            </w:tcMar>
          </w:tcPr>
          <w:p>
            <w:pPr>
              <w:spacing w:after="0"/>
            </w:pPr>
            <w:r>
              <w:rPr>
                <w:rFonts w:eastAsia="Malgun Gothic" w:ascii="Arial" w:hAnsi="Arial"/>
                <w:sz w:val="18"/>
              </w:rPr>
              <w:t>9</w:t>
            </w:r>
          </w:p>
        </w:tc>
      </w:tr>
      <w:tr>
        <w:tc>
          <w:tcPr>
            <w:tcW w:w="0" w:type="auto"/>
            <w:tcMar>
              <w:top w:w="90" w:type="dxa"/>
              <w:left w:w="110" w:type="dxa"/>
              <w:bottom w:w="90" w:type="dxa"/>
              <w:right w:w="110" w:type="dxa"/>
            </w:tcMar>
          </w:tcPr>
          <w:p>
            <w:pPr>
              <w:spacing w:after="0"/>
            </w:pPr>
            <w:r>
              <w:rPr>
                <w:rFonts w:eastAsia="Malgun Gothic" w:ascii="Arial" w:hAnsi="Arial"/>
                <w:sz w:val="18"/>
              </w:rPr>
              <w:t>보호자</w:t>
            </w:r>
          </w:p>
        </w:tc>
        <w:tc>
          <w:tcPr>
            <w:tcW w:w="0" w:type="auto"/>
            <w:tcMar>
              <w:top w:w="90" w:type="dxa"/>
              <w:left w:w="110" w:type="dxa"/>
              <w:bottom w:w="90" w:type="dxa"/>
              <w:right w:w="110" w:type="dxa"/>
            </w:tcMar>
          </w:tcPr>
          <w:p>
            <w:pPr>
              <w:spacing w:after="0"/>
            </w:pPr>
            <w:r>
              <w:rPr>
                <w:rFonts w:eastAsia="Malgun Gothic" w:ascii="Arial" w:hAnsi="Arial"/>
                <w:sz w:val="18"/>
              </w:rPr>
              <w:t>자아존중감</w:t>
            </w:r>
          </w:p>
        </w:tc>
        <w:tc>
          <w:tcPr>
            <w:tcW w:w="0" w:type="auto"/>
            <w:tcMar>
              <w:top w:w="90" w:type="dxa"/>
              <w:left w:w="110" w:type="dxa"/>
              <w:bottom w:w="90" w:type="dxa"/>
              <w:right w:w="110" w:type="dxa"/>
            </w:tcMar>
          </w:tcPr>
          <w:p>
            <w:pPr>
              <w:spacing w:after="0"/>
            </w:pPr>
            <w:r>
              <w:rPr>
                <w:rFonts w:eastAsia="Malgun Gothic" w:ascii="Arial" w:hAnsi="Arial"/>
                <w:sz w:val="18"/>
              </w:rPr>
              <w:t>9</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문화적응 스트레스</w:t>
            </w:r>
          </w:p>
        </w:tc>
        <w:tc>
          <w:tcPr>
            <w:tcW w:w="0" w:type="auto"/>
            <w:tcMar>
              <w:top w:w="90" w:type="dxa"/>
              <w:left w:w="110" w:type="dxa"/>
              <w:bottom w:w="90" w:type="dxa"/>
              <w:right w:w="110" w:type="dxa"/>
            </w:tcMar>
          </w:tcPr>
          <w:p>
            <w:pPr>
              <w:spacing w:after="0"/>
            </w:pPr>
            <w:r>
              <w:rPr>
                <w:rFonts w:eastAsia="Malgun Gothic" w:ascii="Arial" w:hAnsi="Arial"/>
                <w:sz w:val="18"/>
              </w:rPr>
              <w:t>9</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이중문화수용</w:t>
            </w:r>
          </w:p>
        </w:tc>
        <w:tc>
          <w:tcPr>
            <w:tcW w:w="0" w:type="auto"/>
            <w:tcMar>
              <w:top w:w="90" w:type="dxa"/>
              <w:left w:w="110" w:type="dxa"/>
              <w:bottom w:w="90" w:type="dxa"/>
              <w:right w:w="110" w:type="dxa"/>
            </w:tcMar>
          </w:tcPr>
          <w:p>
            <w:pPr>
              <w:spacing w:after="0"/>
            </w:pPr>
            <w:r>
              <w:rPr>
                <w:rFonts w:eastAsia="Malgun Gothic" w:ascii="Arial" w:hAnsi="Arial"/>
                <w:sz w:val="18"/>
              </w:rPr>
              <w:t>10</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따돌림 피해</w:t>
            </w:r>
          </w:p>
        </w:tc>
        <w:tc>
          <w:tcPr>
            <w:tcW w:w="0" w:type="auto"/>
            <w:tcMar>
              <w:top w:w="90" w:type="dxa"/>
              <w:left w:w="110" w:type="dxa"/>
              <w:bottom w:w="90" w:type="dxa"/>
              <w:right w:w="110" w:type="dxa"/>
            </w:tcMar>
          </w:tcPr>
          <w:p>
            <w:pPr>
              <w:spacing w:after="0"/>
            </w:pPr>
            <w:r>
              <w:rPr>
                <w:rFonts w:eastAsia="Malgun Gothic" w:ascii="Arial" w:hAnsi="Arial"/>
                <w:sz w:val="18"/>
              </w:rPr>
              <w:t>6</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친구 지지</w:t>
            </w:r>
          </w:p>
        </w:tc>
        <w:tc>
          <w:tcPr>
            <w:tcW w:w="0" w:type="auto"/>
            <w:tcMar>
              <w:top w:w="90" w:type="dxa"/>
              <w:left w:w="110" w:type="dxa"/>
              <w:bottom w:w="90" w:type="dxa"/>
              <w:right w:w="110" w:type="dxa"/>
            </w:tcMar>
          </w:tcPr>
          <w:p>
            <w:pPr>
              <w:spacing w:after="0"/>
            </w:pPr>
            <w:r>
              <w:rPr>
                <w:rFonts w:eastAsia="Malgun Gothic" w:ascii="Arial" w:hAnsi="Arial"/>
                <w:sz w:val="18"/>
              </w:rPr>
              <w:t>3</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삶의 만족</w:t>
            </w:r>
          </w:p>
        </w:tc>
        <w:tc>
          <w:tcPr>
            <w:tcW w:w="0" w:type="auto"/>
            <w:tcMar>
              <w:top w:w="90" w:type="dxa"/>
              <w:left w:w="110" w:type="dxa"/>
              <w:bottom w:w="90" w:type="dxa"/>
              <w:right w:w="110" w:type="dxa"/>
            </w:tcMar>
          </w:tcPr>
          <w:p>
            <w:pPr>
              <w:spacing w:after="0"/>
            </w:pPr>
            <w:r>
              <w:rPr>
                <w:rFonts w:eastAsia="Malgun Gothic" w:ascii="Arial" w:hAnsi="Arial"/>
                <w:sz w:val="18"/>
              </w:rPr>
              <w:t>3</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국가정체성</w:t>
            </w:r>
          </w:p>
        </w:tc>
        <w:tc>
          <w:tcPr>
            <w:tcW w:w="0" w:type="auto"/>
            <w:tcMar>
              <w:top w:w="90" w:type="dxa"/>
              <w:left w:w="110" w:type="dxa"/>
              <w:bottom w:w="90" w:type="dxa"/>
              <w:right w:w="110" w:type="dxa"/>
            </w:tcMar>
          </w:tcPr>
          <w:p>
            <w:pPr>
              <w:spacing w:after="0"/>
            </w:pPr>
            <w:r>
              <w:rPr>
                <w:rFonts w:eastAsia="Malgun Gothic" w:ascii="Arial" w:hAnsi="Arial"/>
                <w:sz w:val="18"/>
              </w:rPr>
              <w:t>4</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부모 지지</w:t>
            </w:r>
          </w:p>
        </w:tc>
        <w:tc>
          <w:tcPr>
            <w:tcW w:w="0" w:type="auto"/>
            <w:tcMar>
              <w:top w:w="90" w:type="dxa"/>
              <w:left w:w="110" w:type="dxa"/>
              <w:bottom w:w="90" w:type="dxa"/>
              <w:right w:w="110" w:type="dxa"/>
            </w:tcMar>
          </w:tcPr>
          <w:p>
            <w:pPr>
              <w:spacing w:after="0"/>
            </w:pPr>
            <w:r>
              <w:rPr>
                <w:rFonts w:eastAsia="Malgun Gothic" w:ascii="Arial" w:hAnsi="Arial"/>
                <w:sz w:val="18"/>
              </w:rPr>
              <w:t>6</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부모-자녀 관계</w:t>
            </w:r>
          </w:p>
        </w:tc>
        <w:tc>
          <w:tcPr>
            <w:tcW w:w="0" w:type="auto"/>
            <w:tcMar>
              <w:top w:w="90" w:type="dxa"/>
              <w:left w:w="110" w:type="dxa"/>
              <w:bottom w:w="90" w:type="dxa"/>
              <w:right w:w="110" w:type="dxa"/>
            </w:tcMar>
          </w:tcPr>
          <w:p>
            <w:pPr>
              <w:spacing w:after="0"/>
            </w:pPr>
            <w:r>
              <w:rPr>
                <w:rFonts w:eastAsia="Malgun Gothic" w:ascii="Arial" w:hAnsi="Arial"/>
                <w:sz w:val="18"/>
              </w:rPr>
              <w:t>10</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교사 지지</w:t>
            </w:r>
          </w:p>
        </w:tc>
        <w:tc>
          <w:tcPr>
            <w:tcW w:w="0" w:type="auto"/>
            <w:tcMar>
              <w:top w:w="90" w:type="dxa"/>
              <w:left w:w="110" w:type="dxa"/>
              <w:bottom w:w="90" w:type="dxa"/>
              <w:right w:w="110" w:type="dxa"/>
            </w:tcMar>
          </w:tcPr>
          <w:p>
            <w:pPr>
              <w:spacing w:after="0"/>
            </w:pPr>
            <w:r>
              <w:rPr>
                <w:rFonts w:eastAsia="Malgun Gothic" w:ascii="Arial" w:hAnsi="Arial"/>
                <w:sz w:val="18"/>
              </w:rPr>
              <w:t>3</w:t>
            </w:r>
          </w:p>
        </w:tc>
      </w:tr>
      <w:tr>
        <w:tc>
          <w:tcPr>
            <w:tcW w:w="0" w:type="auto"/>
            <w:tcMar>
              <w:top w:w="90" w:type="dxa"/>
              <w:left w:w="110" w:type="dxa"/>
              <w:bottom w:w="90" w:type="dxa"/>
              <w:right w:w="110" w:type="dxa"/>
            </w:tcMar>
          </w:tcPr>
          <w:p>
            <w:pPr>
              <w:spacing w:after="0"/>
            </w:pPr>
            <w:r>
              <w:rPr>
                <w:rFonts w:eastAsia="Malgun Gothic" w:ascii="Arial" w:hAnsi="Arial"/>
                <w:sz w:val="18"/>
              </w:rPr>
              <w:t>청소년</w:t>
            </w:r>
          </w:p>
        </w:tc>
        <w:tc>
          <w:tcPr>
            <w:tcW w:w="0" w:type="auto"/>
            <w:tcMar>
              <w:top w:w="90" w:type="dxa"/>
              <w:left w:w="110" w:type="dxa"/>
              <w:bottom w:w="90" w:type="dxa"/>
              <w:right w:w="110" w:type="dxa"/>
            </w:tcMar>
          </w:tcPr>
          <w:p>
            <w:pPr>
              <w:spacing w:after="0"/>
            </w:pPr>
            <w:r>
              <w:rPr>
                <w:rFonts w:eastAsia="Malgun Gothic" w:ascii="Arial" w:hAnsi="Arial"/>
                <w:sz w:val="18"/>
              </w:rPr>
              <w:t>걱정</w:t>
            </w:r>
          </w:p>
        </w:tc>
        <w:tc>
          <w:tcPr>
            <w:tcW w:w="0" w:type="auto"/>
            <w:tcMar>
              <w:top w:w="90" w:type="dxa"/>
              <w:left w:w="110" w:type="dxa"/>
              <w:bottom w:w="90" w:type="dxa"/>
              <w:right w:w="110" w:type="dxa"/>
            </w:tcMar>
          </w:tcPr>
          <w:p>
            <w:pPr>
              <w:spacing w:after="0"/>
            </w:pPr>
            <w:r>
              <w:rPr>
                <w:rFonts w:eastAsia="Malgun Gothic" w:ascii="Arial" w:hAnsi="Arial"/>
                <w:sz w:val="18"/>
              </w:rPr>
              <w:t>13</w:t>
            </w:r>
          </w:p>
        </w:tc>
      </w:tr>
    </w:tbl>
    <w:p>
      <w:pPr>
        <w:spacing w:before="0" w:after="120" w:line="360" w:lineRule="auto"/>
        <w:jc w:val="both"/>
      </w:pPr>
      <w:r>
        <w:rPr>
          <w:rFonts w:eastAsia="Malgun Gothic" w:ascii="Times New Roman" w:hAnsi="Times New Roman"/>
          <w:sz w:val="22"/>
        </w:rPr>
        <w:t/>
      </w:r>
    </w:p>
    <w:p>
      <w:pPr>
        <w:spacing w:before="240" w:after="120"/>
        <w:outlineLvl w:val="1"/>
      </w:pPr>
      <w:r>
        <w:rPr>
          <w:rFonts w:eastAsia="Malgun Gothic" w:ascii="Arial" w:hAnsi="Arial"/>
          <w:b/>
          <w:sz w:val="26"/>
        </w:rPr>
        <w:t>2.2 문항-공변량 조합과 공변량 선택</w:t>
      </w:r>
    </w:p>
    <w:p>
      <w:pPr>
        <w:spacing w:before="0" w:after="120" w:line="360" w:lineRule="auto"/>
        <w:jc w:val="both"/>
      </w:pPr>
      <w:r>
        <w:rPr>
          <w:rFonts w:eastAsia="Malgun Gothic" w:ascii="Times New Roman" w:hAnsi="Times New Roman"/>
          <w:sz w:val="22"/>
        </w:rPr>
        <w:t>본 연구의 분석 단위는 개별 문항이 아니라 문항-공변량 조합이다. 이는 동일한 문항이라도 어떤 공변량과 결합되는지에 따라 DIF 가설의 내용이 달라질 수 있기 때문이다. 예를 들어 동일한 문화적응 스트레스 문항이라도 한국어 능력과 연결될 때에는 문항 이해와 응답 범주의 해석 문제가 중심이 될 수 있고, 차별 경험과 연결될 때에는 문항 내용과 실제 사회적 경험의 중첩 문제가 중심이 될 수 있다. 따라서 본 연구는 문항 자체의 일반적 민감도를 평가하기보다, 특정 문항이 특정 공변량과 만날 때 어떤 threshold DIF 후보 가설이 생성되는지 평가한다.</w:t>
      </w:r>
    </w:p>
    <w:p>
      <w:pPr>
        <w:spacing w:before="0" w:after="120" w:line="360" w:lineRule="auto"/>
        <w:jc w:val="both"/>
      </w:pPr>
      <w:r>
        <w:rPr>
          <w:rFonts w:eastAsia="Malgun Gothic" w:ascii="Times New Roman" w:hAnsi="Times New Roman"/>
          <w:sz w:val="22"/>
        </w:rPr>
        <w:t>MAPS의 공변량은 단순한 배경 통제변수로만 이해하기 어렵다. 한국어 능력, 차별 경험, 가구소득, 성별, 연령은 다문화 청소년과 보호자의 삶을 구성하는 조건인 동시에, 문항을 이해하고 해석하며 응답 범주를 사용하는 방식과도 연결될 수 있다. 이 점에서 이들 공변량은 LLM 기반 DIF 가설 생성의 적절한 시험대가 된다. 공변량이 잠재특성의 실제 차이를 설명할 수도 있지만, 같은 잠재특성 수준에서도 특정 문항이 다르게 작동하는 조건을 만들 수도 있기 때문이다. 따라서 본 연구에서 중요한 것은 공변량과 점수의 단순 관련성이 아니라, 그 관련성이 impact인지 DIF인지 구분하는 것이다.</w:t>
      </w:r>
    </w:p>
    <w:p>
      <w:pPr>
        <w:spacing w:before="0" w:after="120" w:line="360" w:lineRule="auto"/>
        <w:jc w:val="both"/>
      </w:pPr>
      <w:r>
        <w:rPr>
          <w:rFonts w:eastAsia="Malgun Gothic" w:ascii="Times New Roman" w:hAnsi="Times New Roman"/>
          <w:sz w:val="22"/>
        </w:rPr>
        <w:t>한국어 능력은 이러한 문제를 가장 직접적으로 보여주는 공변량이다. MAPS 문항은 기본적으로 한국어 문항을 통해 응답되며, 한국어 능력은 문항 wording, 응답 범주, 사회적 상황을 묘사하는 표현을 이해하는 과정에 관여할 수 있다. 한국어 능력이 낮은 응답자는 같은 수준의 문화적응 스트레스나 자아존중감을 가지고 있더라도 문항의 뉘앙스나 응답 범주의 차이를 다르게 처리할 가능성이 있다. 따라서 한국어 능력은 다문화 청소년의 적응을 설명하는 실질적 조건이면서, 동시에 response process와 연결되는 DIF 후보 공변량으로 볼 수 있다.</w:t>
      </w:r>
    </w:p>
    <w:p>
      <w:pPr>
        <w:spacing w:before="0" w:after="120" w:line="360" w:lineRule="auto"/>
        <w:jc w:val="both"/>
      </w:pPr>
      <w:r>
        <w:rPr>
          <w:rFonts w:eastAsia="Malgun Gothic" w:ascii="Times New Roman" w:hAnsi="Times New Roman"/>
          <w:sz w:val="22"/>
        </w:rPr>
        <w:t>차별 경험 역시 중요한 공변량이다. 선행연구는 차별 경험이 다문화 청소년의 자아존중감, 우울, 문화적응 스트레스, 신체 외모 만족도와 밀접하게 관련됨을 보여준다. 그러나 DIF 관점에서는 한 걸음 더 나아가야 한다. 차별 경험은 실제 심리사회적 적응 수준의 차이를 만들 수 있지만, 일부 문항에서는 문항 내용 자체와 직접 겹칠 수 있다. 예컨대 차별, 무시, 따돌림, 외국인 취급과 같은 표현이 문항에 포함되어 있다면, 해당 문항은 차별 경험 공변량과 강한 표면적 연결을 갖는다. 이때 관찰된 차이가 실제 경험의 차이인지, 같은 잠재특성 수준에서도 특정 wording이 다른 응답 기준을 유발한 결과인지는 별도로 검토해야 한다.</w:t>
      </w:r>
    </w:p>
    <w:p>
      <w:pPr>
        <w:spacing w:before="0" w:after="120" w:line="360" w:lineRule="auto"/>
        <w:jc w:val="both"/>
      </w:pPr>
      <w:r>
        <w:rPr>
          <w:rFonts w:eastAsia="Malgun Gothic" w:ascii="Times New Roman" w:hAnsi="Times New Roman"/>
          <w:sz w:val="22"/>
        </w:rPr>
        <w:t>가구소득, 성별, 연령은 조금 다른 방식으로 중요하다. 가구소득은 가족 자원, 교육 기회, 건강 접근성, 진로 기대와 관련될 수 있으므로 여러 구인의 실제 수준에 영향을 줄 수 있다. 그러나 문항 기능 차이를 주장하려면 소득이 문항 이해, 응답 기준, 선택지 사용에 영향을 줄 수 있는 구체적 근거가 필요하다. 성별과 연령도 마찬가지다. 성별은 또래 관계, 외모, 사회적 기대, 관계적 경험과 연결될 수 있고, 연령은 발달 단계, 학년 전환, 진로 기대, 부모-자녀 관계의 변화와 연결된다. 그러나 이러한 관련성이 곧 DIF를 뜻하지는 않는다. 오히려 성별과 연령은 LLM이 문항 단서 없이 그럴듯한 사회적 설명을 만들어내기 쉬운 공변량이다. 따라서 본 연구에서 이들 공변량은 LLM이 impact와 DIF를 얼마나 구분하는지, 그리고 고정관념적 rationale을 생성하는지를 점검하는 사례가 된다.</w:t>
      </w:r>
    </w:p>
    <w:p>
      <w:pPr>
        <w:spacing w:before="240" w:after="120"/>
        <w:outlineLvl w:val="1"/>
      </w:pPr>
      <w:r>
        <w:rPr>
          <w:rFonts w:eastAsia="Malgun Gothic" w:ascii="Arial" w:hAnsi="Arial"/>
          <w:b/>
          <w:sz w:val="26"/>
        </w:rPr>
        <w:t>2.3 Keyword baseline</w:t>
      </w:r>
    </w:p>
    <w:p>
      <w:pPr>
        <w:spacing w:before="0" w:after="120" w:line="360" w:lineRule="auto"/>
        <w:jc w:val="both"/>
      </w:pPr>
      <w:r>
        <w:rPr>
          <w:rFonts w:eastAsia="Malgun Gothic" w:ascii="Times New Roman" w:hAnsi="Times New Roman"/>
          <w:sz w:val="22"/>
        </w:rPr>
        <w:t>본 연구는 LLM의 우선순위화 성능을 해석하기 위해 keyword baseline을 함께 사용한다. Keyword baseline은 문항 텍스트의 표면 어휘만을 사용하는 규칙 기반 비교 기준이다. 이 baseline은 LLM 출력, 경험적 DIF label, 응답 분포, 문항 통계량을 사용하지 않는다. 따라서 keyword baseline은 LLM이 실제로 문항과 공변량 사이의 의미적 연결을 활용하는지, 아니면 단순한 표면 단어 단서와 유사한 방식으로 작동하는지 점검하기 위한 최소 경쟁 기준으로 기능한다.</w:t>
      </w:r>
    </w:p>
    <w:p>
      <w:pPr>
        <w:spacing w:before="0" w:after="120" w:line="360" w:lineRule="auto"/>
        <w:jc w:val="both"/>
      </w:pPr>
      <w:r>
        <w:rPr>
          <w:rFonts w:eastAsia="Malgun Gothic" w:ascii="Times New Roman" w:hAnsi="Times New Roman"/>
          <w:sz w:val="22"/>
        </w:rPr>
        <w:t>각 문항-공변량 조합은 기본 점수에서 시작하며, 문항 텍스트에 해당 공변량과 관련된 사전 정의 키워드가 하나 이상 포함될 경우 고정 가중치를 더한다. 예를 들어 차별 경험 공변량에서는 다른 대우, 편견, 무시, 위축, 사회적 지위, 따돌림, 못살게 함, 외국, 욕, 놀림, 소문과 같은 표현을 표면 단서로 사용한다. 한국어 능력 공변량에서는 한국어, 한국문화, 한국 사람, 모국, 외국, 문화, 언어와 같은 표현을 사용한다. 가구소득 공변량에서는 경제, 형편, 물건, 장소, 제공, 대학, 회사, 지위, 건강, 병원과 같은 표현을 사용한다. 성별 공변량에서는 외모, 이성친구, 신체적 특징, 친구, 따돌림, 소문, 욕설, 놀림과 같은 표현을 사용하며, 연령 공변량에서는 진학, 진로, 미래, 부모역할, 자녀, 아이, 대학, 회사, 체류, 비자와 같은 표현을 사용한다.</w:t>
      </w:r>
    </w:p>
    <w:p>
      <w:pPr>
        <w:spacing w:before="0" w:after="120" w:line="360" w:lineRule="auto"/>
        <w:jc w:val="both"/>
      </w:pPr>
      <w:r>
        <w:rPr>
          <w:rFonts w:eastAsia="Malgun Gothic" w:ascii="Times New Roman" w:hAnsi="Times New Roman"/>
          <w:sz w:val="22"/>
        </w:rPr>
        <w:t>이 baseline은 의도적으로 단순하게 설계되었다. 문자열 탐색은 고정 문자열 일치 방식으로 수행하며, 형태소 분석, 동의어 확장, 빈도 가중, TF-IDF는 사용하지 않는다. 이 단순성은 약점이면서 동시에 장점이다. Keyword baseline은 표면 어휘만으로 어느 정도의 우선순위화가 가능한지를 보여준다. 특히 차별 경험처럼 문항에 직접적인 단어 단서가 드러나는 공변량에서는 단순한 lexical cue만으로도 높은 성능이 나올 수 있다. 따라서 LLM의 추가 가치는 keyword baseline이 잡지 못하는 간접적 의미 연결에서 확인되어야 한다. 한국어 능력처럼 문항 이해, 문화적 맥락, 응답 과정이 함께 작동하는 공변량에서 LLM이 더 높은 우선순위화 성능을 보인다면, 이는 단순 표면 단어를 넘어선 의미 기반 판단의 가능성을 보여준다.</w:t>
      </w:r>
    </w:p>
    <w:p>
      <w:pPr>
        <w:spacing w:before="240" w:after="120"/>
        <w:outlineLvl w:val="1"/>
      </w:pPr>
      <w:r>
        <w:rPr>
          <w:rFonts w:eastAsia="Malgun Gothic" w:ascii="Arial" w:hAnsi="Arial"/>
          <w:b/>
          <w:sz w:val="26"/>
        </w:rPr>
        <w:t>2.4 LLM rationale 질적 코딩</w:t>
      </w:r>
    </w:p>
    <w:p>
      <w:pPr>
        <w:spacing w:before="0" w:after="120" w:line="360" w:lineRule="auto"/>
        <w:jc w:val="both"/>
      </w:pPr>
      <w:r>
        <w:rPr>
          <w:rFonts w:eastAsia="Malgun Gothic" w:ascii="Times New Roman" w:hAnsi="Times New Roman"/>
          <w:sz w:val="22"/>
        </w:rPr>
        <w:t>LLM rationale은 별도의 질적 분석 대상으로 다룬다. 본 연구에서 rationale은 DIF의 원인을 입증하는 증거가 아니다. 그것은 LLM이 어떤 방식으로 문항과 공변량 사이의 의미적 연결을 구성하는지 보여주는 자료다. 따라서 각 rationale은 유형별로 코딩한다. 이 절차의 목적은 LLM이 생성한 설명을 정답으로 받아들이는 것이 아니라, 어떤 설명이 심리측정적으로 검토할 만한 후보이고 어떤 설명이 impact와 DIF의 혼동 또는 일반적 서사에 가까운지 구분하는 데 있다.</w:t>
      </w:r>
    </w:p>
    <w:p>
      <w:pPr>
        <w:spacing w:before="0" w:after="120" w:line="360" w:lineRule="auto"/>
        <w:jc w:val="both"/>
      </w:pPr>
      <w:r>
        <w:rPr>
          <w:rFonts w:eastAsia="Malgun Gothic" w:ascii="Times New Roman" w:hAnsi="Times New Roman"/>
          <w:sz w:val="22"/>
        </w:rPr>
        <w:t>우선 문항 wording 기반 rationale은 특정 단어, 표현, 어휘 난도, 문화적으로 표시된 문항 표현을 근거로 threshold 차이를 설명하는 경우다. 응답 과정 기반 rationale은 이해, 회상, 비교 기준, 사회적 바람직성, 응답 범주 사용 방식의 차이를 설명하는 경우다. 문화·언어 맥락 기반 rationale은 한국어 능력, 모국 문화, 한국 문화, 이중문화 경험이 문항 해석에 미칠 수 있는 영향을 구체적으로 설명하는 경우다. 이러한 rationale은 곧바로 DIF evidence가 되지는 않지만, 후속 ordinal DIF 분석 또는 MNLFA-style validation에서 우선 검토할 후보 설명으로 사용할 수 있다.</w:t>
      </w:r>
    </w:p>
    <w:p>
      <w:pPr>
        <w:spacing w:before="0" w:after="120" w:line="360" w:lineRule="auto"/>
        <w:jc w:val="both"/>
      </w:pPr>
      <w:r>
        <w:rPr>
          <w:rFonts w:eastAsia="Malgun Gothic" w:ascii="Times New Roman" w:hAnsi="Times New Roman"/>
          <w:sz w:val="22"/>
        </w:rPr>
        <w:t>반대로 실패 유형도 구분한다. 가장 중요한 실패는 impact를 DIF로 오인하는 경우다. 예를 들어 소득이 낮으면 스트레스가 높을 수 있다는 설명은 잠재특성의 실제 차이에 대한 설명일 수 있지만, 그것만으로 같은 잠재특성 수준에서 문항 threshold가 달라진다고 말할 수는 없다. 또 다른 실패는 성별이나 연령에 대한 고정관념적 서사다. 문항에 구체적 단서가 없는데도 “여학생은 관계에 더 민감하다”거나 “나이가 많으면 미래를 더 걱정한다”는 식의 일반론을 rationale로 제시하면, 이는 심리측정적 근거가 아니라 사회적 통념의 재생산에 가깝다. 문항 내용과 직접 연결되지 않는 일반론, 높은 점수와 맞지 않는 약한 근거, 예상 방향을 뒷받침하지 못하는 설명도 별도로 코딩한다.</w:t>
      </w:r>
    </w:p>
    <w:p>
      <w:pPr>
        <w:spacing w:before="0" w:after="120" w:line="360" w:lineRule="auto"/>
        <w:jc w:val="both"/>
      </w:pPr>
      <w:r>
        <w:rPr>
          <w:rFonts w:eastAsia="Malgun Gothic" w:ascii="Times New Roman" w:hAnsi="Times New Roman"/>
          <w:sz w:val="22"/>
        </w:rPr>
        <w:t>이 코딩의 목적은 LLM을 더 그럴듯하게 보이게 만드는 데 있지 않다. 오히려 LLM이 어디서 유용하고 어디서 위험한지를 분명히 드러내기 위한 장치다. 문항 wording이나 응답 과정에 근거한 rationale은 후속 psychometric validation에서 우선 검토할 후보가 될 수 있다. 반면 impact를 DIF로 오인한 rationale이나 고정관념적 rationale은 LLM의 한계를 보여주는 실패 사례가 된다. 이러한 실패 사례는 단순한 오류가 아니라 본 연구의 네 번째 연구질문, 즉 LLM이 어떤 조건에서 잠재특성 차이와 문항 기능 차이를 혼동하는지에 답하기 위한 핵심 자료다.</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02C69"/>
    <w:multiLevelType w:val="multilevel"/>
    <w:tmpl w:val="FC109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28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0C"/>
    <w:rsid w:val="000B5002"/>
    <w:rsid w:val="00294477"/>
    <w:rsid w:val="002F660C"/>
    <w:rsid w:val="0040330D"/>
    <w:rsid w:val="005F4149"/>
    <w:rsid w:val="00673B3C"/>
    <w:rsid w:val="00844E6F"/>
    <w:rsid w:val="00850645"/>
    <w:rsid w:val="008E0487"/>
    <w:rsid w:val="008E28A7"/>
    <w:rsid w:val="00CC114D"/>
    <w:rsid w:val="00CC244E"/>
    <w:rsid w:val="00E46CDC"/>
    <w:rsid w:val="00FD02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41FC"/>
  <w15:chartTrackingRefBased/>
  <w15:docId w15:val="{A7B704F9-69B8-4AB6-9901-FDCD5E4D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66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66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66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66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66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66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66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66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66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66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66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66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66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66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66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66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66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66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66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66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66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66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660C"/>
    <w:pPr>
      <w:spacing w:before="160"/>
      <w:jc w:val="center"/>
    </w:pPr>
    <w:rPr>
      <w:i/>
      <w:iCs/>
      <w:color w:val="404040" w:themeColor="text1" w:themeTint="BF"/>
    </w:rPr>
  </w:style>
  <w:style w:type="character" w:customStyle="1" w:styleId="Char1">
    <w:name w:val="인용 Char"/>
    <w:basedOn w:val="a0"/>
    <w:link w:val="a5"/>
    <w:uiPriority w:val="29"/>
    <w:rsid w:val="002F660C"/>
    <w:rPr>
      <w:i/>
      <w:iCs/>
      <w:color w:val="404040" w:themeColor="text1" w:themeTint="BF"/>
    </w:rPr>
  </w:style>
  <w:style w:type="paragraph" w:styleId="a6">
    <w:name w:val="List Paragraph"/>
    <w:basedOn w:val="a"/>
    <w:uiPriority w:val="34"/>
    <w:qFormat/>
    <w:rsid w:val="002F660C"/>
    <w:pPr>
      <w:ind w:left="720"/>
      <w:contextualSpacing/>
    </w:pPr>
  </w:style>
  <w:style w:type="character" w:styleId="a7">
    <w:name w:val="Intense Emphasis"/>
    <w:basedOn w:val="a0"/>
    <w:uiPriority w:val="21"/>
    <w:qFormat/>
    <w:rsid w:val="002F660C"/>
    <w:rPr>
      <w:i/>
      <w:iCs/>
      <w:color w:val="0F4761" w:themeColor="accent1" w:themeShade="BF"/>
    </w:rPr>
  </w:style>
  <w:style w:type="paragraph" w:styleId="a8">
    <w:name w:val="Intense Quote"/>
    <w:basedOn w:val="a"/>
    <w:next w:val="a"/>
    <w:link w:val="Char2"/>
    <w:uiPriority w:val="30"/>
    <w:qFormat/>
    <w:rsid w:val="002F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660C"/>
    <w:rPr>
      <w:i/>
      <w:iCs/>
      <w:color w:val="0F4761" w:themeColor="accent1" w:themeShade="BF"/>
    </w:rPr>
  </w:style>
  <w:style w:type="character" w:styleId="a9">
    <w:name w:val="Intense Reference"/>
    <w:basedOn w:val="a0"/>
    <w:uiPriority w:val="32"/>
    <w:qFormat/>
    <w:rsid w:val="002F6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2523</Words>
  <Characters>14384</Characters>
  <Application>Microsoft Office Word</Application>
  <DocSecurity>0</DocSecurity>
  <Lines>119</Lines>
  <Paragraphs>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창현 이</dc:creator>
  <cp:keywords/>
  <dc:description/>
  <cp:lastModifiedBy>창현 이</cp:lastModifiedBy>
  <cp:revision>4</cp:revision>
  <dcterms:created xsi:type="dcterms:W3CDTF">2026-05-18T04:26:00Z</dcterms:created>
  <dcterms:modified xsi:type="dcterms:W3CDTF">2026-05-18T06:29:00Z</dcterms:modified>
</cp:coreProperties>
</file>