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sz w:val="26"/>
        </w:rPr>
        <w:t>저자 확인사항 반영 문구</w:t>
      </w:r>
    </w:p>
    <w:p>
      <w:pPr>
        <w:spacing w:line="288" w:lineRule="auto"/>
      </w:pPr>
      <w:r>
        <w:rPr>
          <w:rFonts w:ascii="맑은 고딕" w:hAnsi="맑은 고딕" w:eastAsia="맑은 고딕"/>
          <w:b/>
          <w:sz w:val="22"/>
        </w:rPr>
        <w:t>방법 절 삽입 문구</w:t>
      </w:r>
    </w:p>
    <w:p>
      <w:pPr>
        <w:spacing w:line="288" w:lineRule="auto"/>
      </w:pPr>
      <w:r>
        <w:rPr>
          <w:rFonts w:ascii="맑은 고딕" w:hAnsi="맑은 고딕" w:eastAsia="맑은 고딕"/>
          <w:b w:val="0"/>
          <w:sz w:val="20"/>
        </w:rPr>
        <w:t>연속형 공변량은 분석 전 중심화 또는 표준화하여 투입하였다. 한국어 능력과 가구소득은 표준화 점수로 사용하였고, 연령은 조사 시점에 따른 평균 차이를 줄이기 위해 중심화하여 사용하였다. 성별과 차별 경험은 이분형 변수로 처리하였다. 경험적 선별에서 산출된 p값은 분석에 포함된 문항-공변량 조합 전체에 대해 Benjamini-Hochberg 방식으로 FDR 보정을 적용하였다. 본 연구에서는 FDR &lt; .05이면서 공변량 계수의 절댓값이 .20 이상인 조합을 순서형 DIF 선별 양성 후보로 표시하였다.</w:t>
      </w:r>
    </w:p>
    <w:p>
      <w:pPr>
        <w:spacing w:line="288" w:lineRule="auto"/>
      </w:pPr>
      <w:r>
        <w:rPr>
          <w:rFonts w:ascii="맑은 고딕" w:hAnsi="맑은 고딕" w:eastAsia="맑은 고딕"/>
          <w:b/>
          <w:sz w:val="22"/>
        </w:rPr>
        <w:t>결과 절 삽입 문구</w:t>
      </w:r>
    </w:p>
    <w:p>
      <w:pPr>
        <w:spacing w:line="288" w:lineRule="auto"/>
      </w:pPr>
      <w:r>
        <w:rPr>
          <w:rFonts w:ascii="맑은 고딕" w:hAnsi="맑은 고딕" w:eastAsia="맑은 고딕"/>
          <w:b w:val="0"/>
          <w:sz w:val="20"/>
        </w:rPr>
        <w:t>LLM과 전문가 어휘 기준의 AP 차이에 대해서는 문항 ID를 군집 단위로 한 cluster bootstrap과 paired permutation test를 수행하였다. 1-5차년도 pooled 분석에서 기본 지시문 조건의 AP 차이는 .0066이었으며, 문항 단위 bootstrap 95% 구간은 [-.0700, .0714], permutation test의 양측 p값은 .873이었다. 엄격 지시문 조건의 AP 차이는 .0196이었고, bootstrap 95% 구간은 [-.0625, .0770], permutation test의 양측 p값은 .709였다. 따라서 pooled 분석에서 Gemini 점수가 전문가 어휘 기준을 소폭 상회하였더라도, 이 차이는 통계적으로 안정적인 우위로 해석하기 어렵다.</w:t>
      </w:r>
    </w:p>
    <w:p>
      <w:pPr>
        <w:spacing w:line="288" w:lineRule="auto"/>
      </w:pPr>
      <w:r>
        <w:rPr>
          <w:rFonts w:ascii="맑은 고딕" w:hAnsi="맑은 고딕" w:eastAsia="맑은 고딕"/>
          <w:b w:val="0"/>
          <w:sz w:val="20"/>
        </w:rPr>
        <w:t>6차년도 단일 wave 민감도 분석에서는 기본 지시문 조건의 AP 차이가 -.0403이었고, bootstrap 95% 구간은 [-.1223, .0206], permutation test의 양측 p값은 .633이었다. 엄격 지시문 조건의 AP 차이는 -.0560이었으며, bootstrap 95% 구간은 [-.1252, .0208], permutation test의 양측 p값은 .488이었다. 이 결과는 단일 조사시점 기준에서는 오히려 전문가 어휘 기준이 Gemini보다 높은 AP를 보였지만, 그 차이 역시 안정적인 차이로 확인되지는 않았음을 의미한다.</w:t>
      </w:r>
    </w:p>
    <w:p>
      <w:pPr>
        <w:spacing w:line="288" w:lineRule="auto"/>
      </w:pPr>
      <w:r>
        <w:rPr>
          <w:rFonts w:ascii="맑은 고딕" w:hAnsi="맑은 고딕" w:eastAsia="맑은 고딕"/>
          <w:b/>
          <w:sz w:val="22"/>
        </w:rPr>
        <w:t>표 삽입안</w:t>
      </w:r>
    </w:p>
    <w:tbl>
      <w:tblPr>
        <w:tblStyle w:val="TableGrid"/>
        <w:tblW w:type="auto" w:w="0"/>
        <w:tblLook w:firstColumn="1" w:firstRow="1" w:lastColumn="0" w:lastRow="0" w:noHBand="0" w:noVBand="1" w:val="04A0"/>
      </w:tblPr>
      <w:tblGrid>
        <w:gridCol w:w="2000"/>
        <w:gridCol w:w="2000"/>
        <w:gridCol w:w="2000"/>
        <w:gridCol w:w="2000"/>
        <w:gridCol w:w="2000"/>
      </w:tblGrid>
      <w:tr>
        <w:tc>
          <w:tcPr>
            <w:tcW w:type="dxa" w:w="2000"/>
          </w:tcPr>
          <w:p>
            <w:r>
              <w:rPr>
                <w:rFonts w:ascii="맑은 고딕" w:hAnsi="맑은 고딕" w:eastAsia="맑은 고딕"/>
                <w:b/>
                <w:sz w:val="18"/>
              </w:rPr>
              <w:t>분석</w:t>
            </w:r>
          </w:p>
        </w:tc>
        <w:tc>
          <w:tcPr>
            <w:tcW w:type="dxa" w:w="2000"/>
          </w:tcPr>
          <w:p>
            <w:r>
              <w:rPr>
                <w:rFonts w:ascii="맑은 고딕" w:hAnsi="맑은 고딕" w:eastAsia="맑은 고딕"/>
                <w:b/>
                <w:sz w:val="18"/>
              </w:rPr>
              <w:t>지시문</w:t>
            </w:r>
          </w:p>
        </w:tc>
        <w:tc>
          <w:tcPr>
            <w:tcW w:type="dxa" w:w="2000"/>
          </w:tcPr>
          <w:p>
            <w:r>
              <w:rPr>
                <w:rFonts w:ascii="맑은 고딕" w:hAnsi="맑은 고딕" w:eastAsia="맑은 고딕"/>
                <w:b/>
                <w:sz w:val="18"/>
              </w:rPr>
              <w:t>AP 차이</w:t>
            </w:r>
          </w:p>
        </w:tc>
        <w:tc>
          <w:tcPr>
            <w:tcW w:type="dxa" w:w="2000"/>
          </w:tcPr>
          <w:p>
            <w:r>
              <w:rPr>
                <w:rFonts w:ascii="맑은 고딕" w:hAnsi="맑은 고딕" w:eastAsia="맑은 고딕"/>
                <w:b/>
                <w:sz w:val="18"/>
              </w:rPr>
              <w:t>bootstrap 95% CI</w:t>
            </w:r>
          </w:p>
        </w:tc>
        <w:tc>
          <w:tcPr>
            <w:tcW w:type="dxa" w:w="2000"/>
          </w:tcPr>
          <w:p>
            <w:r>
              <w:rPr>
                <w:rFonts w:ascii="맑은 고딕" w:hAnsi="맑은 고딕" w:eastAsia="맑은 고딕"/>
                <w:b/>
                <w:sz w:val="18"/>
              </w:rPr>
              <w:t>permutation p</w:t>
            </w:r>
          </w:p>
        </w:tc>
      </w:tr>
      <w:tr>
        <w:tc>
          <w:tcPr>
            <w:tcW w:type="dxa" w:w="2000"/>
          </w:tcPr>
          <w:p>
            <w:r>
              <w:rPr>
                <w:rFonts w:ascii="맑은 고딕" w:hAnsi="맑은 고딕" w:eastAsia="맑은 고딕"/>
                <w:sz w:val="18"/>
              </w:rPr>
              <w:t>1-5차 pooled</w:t>
            </w:r>
          </w:p>
        </w:tc>
        <w:tc>
          <w:tcPr>
            <w:tcW w:type="dxa" w:w="2000"/>
          </w:tcPr>
          <w:p>
            <w:r>
              <w:rPr>
                <w:rFonts w:ascii="맑은 고딕" w:hAnsi="맑은 고딕" w:eastAsia="맑은 고딕"/>
                <w:sz w:val="18"/>
              </w:rPr>
              <w:t>기본</w:t>
            </w:r>
          </w:p>
        </w:tc>
        <w:tc>
          <w:tcPr>
            <w:tcW w:type="dxa" w:w="2000"/>
          </w:tcPr>
          <w:p>
            <w:r>
              <w:rPr>
                <w:rFonts w:ascii="맑은 고딕" w:hAnsi="맑은 고딕" w:eastAsia="맑은 고딕"/>
                <w:sz w:val="18"/>
              </w:rPr>
              <w:t>.0066</w:t>
            </w:r>
          </w:p>
        </w:tc>
        <w:tc>
          <w:tcPr>
            <w:tcW w:type="dxa" w:w="2000"/>
          </w:tcPr>
          <w:p>
            <w:r>
              <w:rPr>
                <w:rFonts w:ascii="맑은 고딕" w:hAnsi="맑은 고딕" w:eastAsia="맑은 고딕"/>
                <w:sz w:val="18"/>
              </w:rPr>
              <w:t>[-.0700, .0714]</w:t>
            </w:r>
          </w:p>
        </w:tc>
        <w:tc>
          <w:tcPr>
            <w:tcW w:type="dxa" w:w="2000"/>
          </w:tcPr>
          <w:p>
            <w:r>
              <w:rPr>
                <w:rFonts w:ascii="맑은 고딕" w:hAnsi="맑은 고딕" w:eastAsia="맑은 고딕"/>
                <w:sz w:val="18"/>
              </w:rPr>
              <w:t>.873</w:t>
            </w:r>
          </w:p>
        </w:tc>
      </w:tr>
      <w:tr>
        <w:tc>
          <w:tcPr>
            <w:tcW w:type="dxa" w:w="2000"/>
          </w:tcPr>
          <w:p>
            <w:r>
              <w:rPr>
                <w:rFonts w:ascii="맑은 고딕" w:hAnsi="맑은 고딕" w:eastAsia="맑은 고딕"/>
                <w:sz w:val="18"/>
              </w:rPr>
              <w:t>1-5차 pooled</w:t>
            </w:r>
          </w:p>
        </w:tc>
        <w:tc>
          <w:tcPr>
            <w:tcW w:type="dxa" w:w="2000"/>
          </w:tcPr>
          <w:p>
            <w:r>
              <w:rPr>
                <w:rFonts w:ascii="맑은 고딕" w:hAnsi="맑은 고딕" w:eastAsia="맑은 고딕"/>
                <w:sz w:val="18"/>
              </w:rPr>
              <w:t>엄격</w:t>
            </w:r>
          </w:p>
        </w:tc>
        <w:tc>
          <w:tcPr>
            <w:tcW w:type="dxa" w:w="2000"/>
          </w:tcPr>
          <w:p>
            <w:r>
              <w:rPr>
                <w:rFonts w:ascii="맑은 고딕" w:hAnsi="맑은 고딕" w:eastAsia="맑은 고딕"/>
                <w:sz w:val="18"/>
              </w:rPr>
              <w:t>.0196</w:t>
            </w:r>
          </w:p>
        </w:tc>
        <w:tc>
          <w:tcPr>
            <w:tcW w:type="dxa" w:w="2000"/>
          </w:tcPr>
          <w:p>
            <w:r>
              <w:rPr>
                <w:rFonts w:ascii="맑은 고딕" w:hAnsi="맑은 고딕" w:eastAsia="맑은 고딕"/>
                <w:sz w:val="18"/>
              </w:rPr>
              <w:t>[-.0625, .0770]</w:t>
            </w:r>
          </w:p>
        </w:tc>
        <w:tc>
          <w:tcPr>
            <w:tcW w:type="dxa" w:w="2000"/>
          </w:tcPr>
          <w:p>
            <w:r>
              <w:rPr>
                <w:rFonts w:ascii="맑은 고딕" w:hAnsi="맑은 고딕" w:eastAsia="맑은 고딕"/>
                <w:sz w:val="18"/>
              </w:rPr>
              <w:t>.709</w:t>
            </w:r>
          </w:p>
        </w:tc>
      </w:tr>
      <w:tr>
        <w:tc>
          <w:tcPr>
            <w:tcW w:type="dxa" w:w="2000"/>
          </w:tcPr>
          <w:p>
            <w:r>
              <w:rPr>
                <w:rFonts w:ascii="맑은 고딕" w:hAnsi="맑은 고딕" w:eastAsia="맑은 고딕"/>
                <w:sz w:val="18"/>
              </w:rPr>
              <w:t>6차년도</w:t>
            </w:r>
          </w:p>
        </w:tc>
        <w:tc>
          <w:tcPr>
            <w:tcW w:type="dxa" w:w="2000"/>
          </w:tcPr>
          <w:p>
            <w:r>
              <w:rPr>
                <w:rFonts w:ascii="맑은 고딕" w:hAnsi="맑은 고딕" w:eastAsia="맑은 고딕"/>
                <w:sz w:val="18"/>
              </w:rPr>
              <w:t>기본</w:t>
            </w:r>
          </w:p>
        </w:tc>
        <w:tc>
          <w:tcPr>
            <w:tcW w:type="dxa" w:w="2000"/>
          </w:tcPr>
          <w:p>
            <w:r>
              <w:rPr>
                <w:rFonts w:ascii="맑은 고딕" w:hAnsi="맑은 고딕" w:eastAsia="맑은 고딕"/>
                <w:sz w:val="18"/>
              </w:rPr>
              <w:t>-.0403</w:t>
            </w:r>
          </w:p>
        </w:tc>
        <w:tc>
          <w:tcPr>
            <w:tcW w:type="dxa" w:w="2000"/>
          </w:tcPr>
          <w:p>
            <w:r>
              <w:rPr>
                <w:rFonts w:ascii="맑은 고딕" w:hAnsi="맑은 고딕" w:eastAsia="맑은 고딕"/>
                <w:sz w:val="18"/>
              </w:rPr>
              <w:t>[-.1223, .0206]</w:t>
            </w:r>
          </w:p>
        </w:tc>
        <w:tc>
          <w:tcPr>
            <w:tcW w:type="dxa" w:w="2000"/>
          </w:tcPr>
          <w:p>
            <w:r>
              <w:rPr>
                <w:rFonts w:ascii="맑은 고딕" w:hAnsi="맑은 고딕" w:eastAsia="맑은 고딕"/>
                <w:sz w:val="18"/>
              </w:rPr>
              <w:t>.633</w:t>
            </w:r>
          </w:p>
        </w:tc>
      </w:tr>
      <w:tr>
        <w:tc>
          <w:tcPr>
            <w:tcW w:type="dxa" w:w="2000"/>
          </w:tcPr>
          <w:p>
            <w:r>
              <w:rPr>
                <w:rFonts w:ascii="맑은 고딕" w:hAnsi="맑은 고딕" w:eastAsia="맑은 고딕"/>
                <w:sz w:val="18"/>
              </w:rPr>
              <w:t>6차년도</w:t>
            </w:r>
          </w:p>
        </w:tc>
        <w:tc>
          <w:tcPr>
            <w:tcW w:type="dxa" w:w="2000"/>
          </w:tcPr>
          <w:p>
            <w:r>
              <w:rPr>
                <w:rFonts w:ascii="맑은 고딕" w:hAnsi="맑은 고딕" w:eastAsia="맑은 고딕"/>
                <w:sz w:val="18"/>
              </w:rPr>
              <w:t>엄격</w:t>
            </w:r>
          </w:p>
        </w:tc>
        <w:tc>
          <w:tcPr>
            <w:tcW w:type="dxa" w:w="2000"/>
          </w:tcPr>
          <w:p>
            <w:r>
              <w:rPr>
                <w:rFonts w:ascii="맑은 고딕" w:hAnsi="맑은 고딕" w:eastAsia="맑은 고딕"/>
                <w:sz w:val="18"/>
              </w:rPr>
              <w:t>-.0560</w:t>
            </w:r>
          </w:p>
        </w:tc>
        <w:tc>
          <w:tcPr>
            <w:tcW w:type="dxa" w:w="2000"/>
          </w:tcPr>
          <w:p>
            <w:r>
              <w:rPr>
                <w:rFonts w:ascii="맑은 고딕" w:hAnsi="맑은 고딕" w:eastAsia="맑은 고딕"/>
                <w:sz w:val="18"/>
              </w:rPr>
              <w:t>[-.1252, .0208]</w:t>
            </w:r>
          </w:p>
        </w:tc>
        <w:tc>
          <w:tcPr>
            <w:tcW w:type="dxa" w:w="2000"/>
          </w:tcPr>
          <w:p>
            <w:r>
              <w:rPr>
                <w:rFonts w:ascii="맑은 고딕" w:hAnsi="맑은 고딕" w:eastAsia="맑은 고딕"/>
                <w:sz w:val="18"/>
              </w:rPr>
              <w:t>.488</w:t>
            </w:r>
          </w:p>
        </w:tc>
      </w:tr>
    </w:tbl>
    <w:p>
      <w:pPr>
        <w:spacing w:line="288" w:lineRule="auto"/>
      </w:pPr>
      <w:r>
        <w:rPr>
          <w:rFonts w:ascii="맑은 고딕" w:hAnsi="맑은 고딕" w:eastAsia="맑은 고딕"/>
          <w:b w:val="0"/>
          <w:sz w:val="18"/>
        </w:rPr>
        <w:t>표 주. AP 차이는 LLM AP에서 전문가 어휘 기준 AP를 뺀 값이다. Bootstrap은 문항 ID를 군집 단위로 하여 500회 반복하였고, permutation test는 동일 문항-공변량 조합 내에서 두 점수의 배정을 교환하는 방식으로 1,000회 반복하였다.</w:t>
      </w:r>
    </w:p>
    <w:p>
      <w:pPr>
        <w:spacing w:line="288" w:lineRule="auto"/>
      </w:pPr>
      <w:r>
        <w:rPr>
          <w:rFonts w:ascii="맑은 고딕" w:hAnsi="맑은 고딕" w:eastAsia="맑은 고딕"/>
          <w:b/>
          <w:sz w:val="22"/>
        </w:rPr>
        <w:t>제출 전 메타정보 확인 문구</w:t>
      </w:r>
    </w:p>
    <w:p>
      <w:pPr>
        <w:spacing w:line="288" w:lineRule="auto"/>
      </w:pPr>
      <w:r>
        <w:rPr>
          <w:rFonts w:ascii="맑은 고딕" w:hAnsi="맑은 고딕" w:eastAsia="맑은 고딕"/>
          <w:b w:val="0"/>
          <w:sz w:val="20"/>
        </w:rPr>
        <w:t>저자정보, 사사문구, 투고일자는 분석 결과와 무관한 제출용 메타정보이므로 최종 투고 전 별도로 확인하였다.</w:t>
      </w:r>
    </w:p>
    <w:sectPr w:rsidR="00FC693F" w:rsidRPr="0006063C" w:rsidSect="00034616">
      <w:pgSz w:w="12240" w:h="15840"/>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