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bookmarkStart w:id="0" w:name="_GoBack"/>
      <w:bookmarkEnd w:id="0"/>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35B37491" w:rsidR="00AE1DED" w:rsidRDefault="008B3C27" w:rsidP="00AE1DED">
      <w:pPr>
        <w:pStyle w:val="PubDate"/>
        <w:contextualSpacing w:val="0"/>
      </w:pPr>
      <w:r>
        <w:t>December</w:t>
      </w:r>
      <w:r w:rsidR="00E6529B">
        <w:t xml:space="preserve"> 2019</w:t>
      </w:r>
    </w:p>
    <w:p w14:paraId="4F3A64B8" w14:textId="1FD37ADE" w:rsidR="00105215" w:rsidRDefault="00AE1DED" w:rsidP="00105215">
      <w:pPr>
        <w:pStyle w:val="Title2"/>
        <w:contextualSpacing w:val="0"/>
      </w:pPr>
      <w:r>
        <w:t xml:space="preserve">Version </w:t>
      </w:r>
      <w:r w:rsidR="00E6529B">
        <w:t>1.</w:t>
      </w:r>
      <w:r w:rsidR="008B3C27">
        <w:t>9</w:t>
      </w:r>
    </w:p>
    <w:p w14:paraId="0E36BAB1" w14:textId="77777777" w:rsidR="009A1D9A" w:rsidRDefault="009A1D9A" w:rsidP="009A1D9A"/>
    <w:p w14:paraId="64A4D597"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FD0E9A" w:rsidRPr="00AC0E30" w14:paraId="68D437B3" w14:textId="77777777" w:rsidTr="00E6529B">
        <w:tc>
          <w:tcPr>
            <w:tcW w:w="1345" w:type="dxa"/>
          </w:tcPr>
          <w:p w14:paraId="16542374" w14:textId="5E5ED887" w:rsidR="00FD0E9A" w:rsidRDefault="00FD0E9A" w:rsidP="00FD0E9A">
            <w:pPr>
              <w:pStyle w:val="TableText"/>
            </w:pPr>
            <w:r>
              <w:t>12/03/2019</w:t>
            </w:r>
          </w:p>
        </w:tc>
        <w:tc>
          <w:tcPr>
            <w:tcW w:w="1080" w:type="dxa"/>
          </w:tcPr>
          <w:p w14:paraId="34E0DD40" w14:textId="530CD6FF" w:rsidR="00FD0E9A" w:rsidRDefault="00FD0E9A" w:rsidP="00FD0E9A">
            <w:pPr>
              <w:pStyle w:val="TableText"/>
            </w:pPr>
            <w:r>
              <w:t>1.9</w:t>
            </w:r>
          </w:p>
        </w:tc>
        <w:tc>
          <w:tcPr>
            <w:tcW w:w="5400" w:type="dxa"/>
          </w:tcPr>
          <w:p w14:paraId="3194BE5C" w14:textId="3BBEC753" w:rsidR="00FD0E9A" w:rsidRPr="00E6529B" w:rsidRDefault="00FD0E9A" w:rsidP="00FD0E9A">
            <w:pPr>
              <w:pStyle w:val="TableText"/>
            </w:pPr>
            <w:r w:rsidRPr="00E6529B">
              <w:t>Updated Contractor Project Management Plan</w:t>
            </w:r>
          </w:p>
        </w:tc>
        <w:tc>
          <w:tcPr>
            <w:tcW w:w="1525" w:type="dxa"/>
          </w:tcPr>
          <w:p w14:paraId="3257AEA8" w14:textId="20F18FD3" w:rsidR="00FD0E9A" w:rsidRDefault="00FD0E9A" w:rsidP="00FD0E9A">
            <w:r>
              <w:t>AbleVets</w:t>
            </w:r>
          </w:p>
        </w:tc>
      </w:tr>
      <w:tr w:rsidR="00FD0E9A" w:rsidRPr="00AC0E30" w14:paraId="09CB1C15" w14:textId="77777777" w:rsidTr="00E6529B">
        <w:tc>
          <w:tcPr>
            <w:tcW w:w="1345" w:type="dxa"/>
          </w:tcPr>
          <w:p w14:paraId="4F67A6B6" w14:textId="5D258603" w:rsidR="00FD0E9A" w:rsidRDefault="00FD0E9A" w:rsidP="00FD0E9A">
            <w:pPr>
              <w:pStyle w:val="TableText"/>
            </w:pPr>
            <w:r>
              <w:t>11/04/2019</w:t>
            </w:r>
          </w:p>
        </w:tc>
        <w:tc>
          <w:tcPr>
            <w:tcW w:w="1080" w:type="dxa"/>
          </w:tcPr>
          <w:p w14:paraId="567380B0" w14:textId="188F17E4" w:rsidR="00FD0E9A" w:rsidRDefault="00FD0E9A" w:rsidP="00FD0E9A">
            <w:pPr>
              <w:pStyle w:val="TableText"/>
            </w:pPr>
            <w:r>
              <w:t>1.8</w:t>
            </w:r>
          </w:p>
        </w:tc>
        <w:tc>
          <w:tcPr>
            <w:tcW w:w="5400" w:type="dxa"/>
          </w:tcPr>
          <w:p w14:paraId="281CC159" w14:textId="07CE0487" w:rsidR="00FD0E9A" w:rsidRPr="00E6529B" w:rsidRDefault="00FD0E9A" w:rsidP="00FD0E9A">
            <w:pPr>
              <w:pStyle w:val="TableText"/>
            </w:pPr>
            <w:r w:rsidRPr="00E6529B">
              <w:t>Updated Contractor Project Management Plan</w:t>
            </w:r>
          </w:p>
        </w:tc>
        <w:tc>
          <w:tcPr>
            <w:tcW w:w="1525" w:type="dxa"/>
          </w:tcPr>
          <w:p w14:paraId="72322BE6" w14:textId="57C30FE9" w:rsidR="00FD0E9A" w:rsidRDefault="00FD0E9A" w:rsidP="00FD0E9A">
            <w:r>
              <w:t>AbleVets</w:t>
            </w:r>
          </w:p>
        </w:tc>
      </w:tr>
      <w:tr w:rsidR="00FD0E9A" w:rsidRPr="00AC0E30" w14:paraId="115113EA" w14:textId="77777777" w:rsidTr="00E6529B">
        <w:tc>
          <w:tcPr>
            <w:tcW w:w="1345" w:type="dxa"/>
          </w:tcPr>
          <w:p w14:paraId="04474F34" w14:textId="5604E9CE" w:rsidR="00FD0E9A" w:rsidRDefault="00FD0E9A" w:rsidP="00FD0E9A">
            <w:pPr>
              <w:pStyle w:val="TableText"/>
            </w:pPr>
            <w:r>
              <w:t>10/03/2019</w:t>
            </w:r>
          </w:p>
        </w:tc>
        <w:tc>
          <w:tcPr>
            <w:tcW w:w="1080" w:type="dxa"/>
          </w:tcPr>
          <w:p w14:paraId="3EB62BF9" w14:textId="1D68BE28" w:rsidR="00FD0E9A" w:rsidRDefault="00FD0E9A" w:rsidP="00FD0E9A">
            <w:pPr>
              <w:pStyle w:val="TableText"/>
            </w:pPr>
            <w:r>
              <w:t>1.7</w:t>
            </w:r>
          </w:p>
        </w:tc>
        <w:tc>
          <w:tcPr>
            <w:tcW w:w="5400" w:type="dxa"/>
          </w:tcPr>
          <w:p w14:paraId="6DC1BE21" w14:textId="4F54F77D" w:rsidR="00FD0E9A" w:rsidRPr="00E6529B" w:rsidRDefault="00FD0E9A" w:rsidP="00FD0E9A">
            <w:pPr>
              <w:pStyle w:val="TableText"/>
            </w:pPr>
            <w:r w:rsidRPr="00E6529B">
              <w:t>Updated Contractor Project Management Plan</w:t>
            </w:r>
          </w:p>
        </w:tc>
        <w:tc>
          <w:tcPr>
            <w:tcW w:w="1525" w:type="dxa"/>
          </w:tcPr>
          <w:p w14:paraId="3CA7ED8D" w14:textId="09A74F47" w:rsidR="00FD0E9A" w:rsidRDefault="00FD0E9A" w:rsidP="00FD0E9A">
            <w:r>
              <w:t>AbleVets</w:t>
            </w:r>
          </w:p>
        </w:tc>
      </w:tr>
      <w:tr w:rsidR="00FD0E9A" w:rsidRPr="00AC0E30" w14:paraId="75D191E7" w14:textId="77777777" w:rsidTr="00E6529B">
        <w:tc>
          <w:tcPr>
            <w:tcW w:w="1345" w:type="dxa"/>
          </w:tcPr>
          <w:p w14:paraId="58AF0CDF" w14:textId="7B98A6FB" w:rsidR="00FD0E9A" w:rsidRDefault="00FD0E9A" w:rsidP="00FD0E9A">
            <w:pPr>
              <w:pStyle w:val="TableText"/>
            </w:pPr>
            <w:r>
              <w:t>09/03/2019</w:t>
            </w:r>
          </w:p>
        </w:tc>
        <w:tc>
          <w:tcPr>
            <w:tcW w:w="1080" w:type="dxa"/>
          </w:tcPr>
          <w:p w14:paraId="4E8DA785" w14:textId="7532941E" w:rsidR="00FD0E9A" w:rsidRDefault="00FD0E9A" w:rsidP="00FD0E9A">
            <w:pPr>
              <w:pStyle w:val="TableText"/>
            </w:pPr>
            <w:r>
              <w:t>1.6</w:t>
            </w:r>
          </w:p>
        </w:tc>
        <w:tc>
          <w:tcPr>
            <w:tcW w:w="5400" w:type="dxa"/>
          </w:tcPr>
          <w:p w14:paraId="2B60715C" w14:textId="3A4546BA" w:rsidR="00FD0E9A" w:rsidRPr="00E6529B" w:rsidRDefault="00FD0E9A" w:rsidP="00FD0E9A">
            <w:pPr>
              <w:pStyle w:val="TableText"/>
            </w:pPr>
            <w:r w:rsidRPr="00E6529B">
              <w:t>Updated Contractor Project Management Plan</w:t>
            </w:r>
          </w:p>
        </w:tc>
        <w:tc>
          <w:tcPr>
            <w:tcW w:w="1525" w:type="dxa"/>
          </w:tcPr>
          <w:p w14:paraId="2DE99A4F" w14:textId="44C38098" w:rsidR="00FD0E9A" w:rsidRPr="00AC0E30" w:rsidRDefault="00FD0E9A" w:rsidP="00FD0E9A">
            <w:r>
              <w:t>AbleVets</w:t>
            </w:r>
          </w:p>
        </w:tc>
      </w:tr>
      <w:tr w:rsidR="00FD0E9A" w:rsidRPr="00AC0E30" w14:paraId="2FB1DB85" w14:textId="77777777" w:rsidTr="00E6529B">
        <w:tc>
          <w:tcPr>
            <w:tcW w:w="1345" w:type="dxa"/>
          </w:tcPr>
          <w:p w14:paraId="2AD41696" w14:textId="78AE7049" w:rsidR="00FD0E9A" w:rsidRPr="00E6529B" w:rsidRDefault="00FD0E9A" w:rsidP="00FD0E9A">
            <w:pPr>
              <w:pStyle w:val="TableText"/>
            </w:pPr>
            <w:r>
              <w:t>08/02/2019</w:t>
            </w:r>
          </w:p>
        </w:tc>
        <w:tc>
          <w:tcPr>
            <w:tcW w:w="1080" w:type="dxa"/>
          </w:tcPr>
          <w:p w14:paraId="25733363" w14:textId="77E9E711" w:rsidR="00FD0E9A" w:rsidRPr="00E6529B" w:rsidRDefault="00FD0E9A" w:rsidP="00FD0E9A">
            <w:pPr>
              <w:pStyle w:val="TableText"/>
            </w:pPr>
            <w:r>
              <w:t>1.5</w:t>
            </w:r>
          </w:p>
        </w:tc>
        <w:tc>
          <w:tcPr>
            <w:tcW w:w="5400" w:type="dxa"/>
          </w:tcPr>
          <w:p w14:paraId="4F872DF6" w14:textId="37A79857" w:rsidR="00FD0E9A" w:rsidRPr="00E6529B" w:rsidRDefault="00FD0E9A" w:rsidP="00FD0E9A">
            <w:pPr>
              <w:pStyle w:val="TableText"/>
            </w:pPr>
            <w:r w:rsidRPr="00E6529B">
              <w:t>Updated Contractor Project Management Plan</w:t>
            </w:r>
          </w:p>
        </w:tc>
        <w:tc>
          <w:tcPr>
            <w:tcW w:w="1525" w:type="dxa"/>
          </w:tcPr>
          <w:p w14:paraId="0FFB1DC6" w14:textId="338C1A52" w:rsidR="00FD0E9A" w:rsidRPr="00AC0E30" w:rsidRDefault="00FD0E9A" w:rsidP="00FD0E9A">
            <w:r w:rsidRPr="00AC0E30">
              <w:t>AbleVets</w:t>
            </w:r>
          </w:p>
        </w:tc>
      </w:tr>
      <w:tr w:rsidR="00FD0E9A" w:rsidRPr="00AC0E30" w14:paraId="348643EB" w14:textId="77777777" w:rsidTr="00E6529B">
        <w:tc>
          <w:tcPr>
            <w:tcW w:w="1345" w:type="dxa"/>
          </w:tcPr>
          <w:p w14:paraId="21DCD629" w14:textId="77777777" w:rsidR="00FD0E9A" w:rsidRPr="00E6529B" w:rsidRDefault="00FD0E9A" w:rsidP="00FD0E9A">
            <w:pPr>
              <w:pStyle w:val="TableText"/>
            </w:pPr>
            <w:r w:rsidRPr="00E6529B">
              <w:t>07/03/2019</w:t>
            </w:r>
          </w:p>
        </w:tc>
        <w:tc>
          <w:tcPr>
            <w:tcW w:w="1080" w:type="dxa"/>
          </w:tcPr>
          <w:p w14:paraId="3010A848" w14:textId="77777777" w:rsidR="00FD0E9A" w:rsidRPr="00E6529B" w:rsidRDefault="00FD0E9A" w:rsidP="00FD0E9A">
            <w:pPr>
              <w:pStyle w:val="TableText"/>
            </w:pPr>
            <w:r w:rsidRPr="00E6529B">
              <w:t>1.4</w:t>
            </w:r>
          </w:p>
        </w:tc>
        <w:tc>
          <w:tcPr>
            <w:tcW w:w="5400" w:type="dxa"/>
          </w:tcPr>
          <w:p w14:paraId="0A148D47" w14:textId="77777777" w:rsidR="00FD0E9A" w:rsidRPr="00E6529B" w:rsidRDefault="00FD0E9A" w:rsidP="00FD0E9A">
            <w:pPr>
              <w:pStyle w:val="TableText"/>
            </w:pPr>
            <w:r w:rsidRPr="00E6529B">
              <w:t>Updated Contractor Project Management Plan</w:t>
            </w:r>
          </w:p>
        </w:tc>
        <w:tc>
          <w:tcPr>
            <w:tcW w:w="1525" w:type="dxa"/>
          </w:tcPr>
          <w:p w14:paraId="517C9C55" w14:textId="77777777" w:rsidR="00FD0E9A" w:rsidRPr="00AC0E30" w:rsidRDefault="00FD0E9A" w:rsidP="00FD0E9A">
            <w:r w:rsidRPr="00AC0E30">
              <w:t>AbleVets</w:t>
            </w:r>
          </w:p>
        </w:tc>
      </w:tr>
      <w:tr w:rsidR="00FD0E9A" w:rsidRPr="00AC0E30" w14:paraId="2E1B07DA" w14:textId="77777777" w:rsidTr="00E6529B">
        <w:tc>
          <w:tcPr>
            <w:tcW w:w="1345" w:type="dxa"/>
          </w:tcPr>
          <w:p w14:paraId="1DE85C73" w14:textId="77777777" w:rsidR="00FD0E9A" w:rsidRPr="00E6529B" w:rsidRDefault="00FD0E9A" w:rsidP="00FD0E9A">
            <w:pPr>
              <w:pStyle w:val="TableText"/>
            </w:pPr>
            <w:r w:rsidRPr="00E6529B">
              <w:t>06/03/2019</w:t>
            </w:r>
          </w:p>
        </w:tc>
        <w:tc>
          <w:tcPr>
            <w:tcW w:w="1080" w:type="dxa"/>
          </w:tcPr>
          <w:p w14:paraId="762F6597" w14:textId="77777777" w:rsidR="00FD0E9A" w:rsidRPr="00E6529B" w:rsidRDefault="00FD0E9A" w:rsidP="00FD0E9A">
            <w:pPr>
              <w:pStyle w:val="TableText"/>
            </w:pPr>
            <w:r w:rsidRPr="00E6529B">
              <w:t>1.3</w:t>
            </w:r>
          </w:p>
        </w:tc>
        <w:tc>
          <w:tcPr>
            <w:tcW w:w="5400" w:type="dxa"/>
          </w:tcPr>
          <w:p w14:paraId="13594C71" w14:textId="77777777" w:rsidR="00FD0E9A" w:rsidRPr="00E6529B" w:rsidRDefault="00FD0E9A" w:rsidP="00FD0E9A">
            <w:pPr>
              <w:pStyle w:val="TableText"/>
            </w:pPr>
            <w:r w:rsidRPr="00E6529B">
              <w:t>Updated Contractor Project Management Plan</w:t>
            </w:r>
          </w:p>
        </w:tc>
        <w:tc>
          <w:tcPr>
            <w:tcW w:w="1525" w:type="dxa"/>
          </w:tcPr>
          <w:p w14:paraId="63D644D2" w14:textId="77777777" w:rsidR="00FD0E9A" w:rsidRPr="00AC0E30" w:rsidRDefault="00FD0E9A" w:rsidP="00FD0E9A">
            <w:r w:rsidRPr="00AC0E30">
              <w:t>AbleVets</w:t>
            </w:r>
          </w:p>
        </w:tc>
      </w:tr>
      <w:tr w:rsidR="00FD0E9A" w:rsidRPr="00AC0E30" w14:paraId="717EE067" w14:textId="77777777" w:rsidTr="00E6529B">
        <w:tc>
          <w:tcPr>
            <w:tcW w:w="1345" w:type="dxa"/>
          </w:tcPr>
          <w:p w14:paraId="5E090EAF" w14:textId="77777777" w:rsidR="00FD0E9A" w:rsidRPr="00E6529B" w:rsidRDefault="00FD0E9A" w:rsidP="00FD0E9A">
            <w:pPr>
              <w:pStyle w:val="TableText"/>
            </w:pPr>
            <w:r w:rsidRPr="00E6529B">
              <w:t>05/03/2019</w:t>
            </w:r>
          </w:p>
        </w:tc>
        <w:tc>
          <w:tcPr>
            <w:tcW w:w="1080" w:type="dxa"/>
          </w:tcPr>
          <w:p w14:paraId="1C853D46" w14:textId="77777777" w:rsidR="00FD0E9A" w:rsidRPr="00E6529B" w:rsidRDefault="00FD0E9A" w:rsidP="00FD0E9A">
            <w:pPr>
              <w:pStyle w:val="TableText"/>
            </w:pPr>
            <w:r w:rsidRPr="00E6529B">
              <w:t>1.2</w:t>
            </w:r>
          </w:p>
        </w:tc>
        <w:tc>
          <w:tcPr>
            <w:tcW w:w="5400" w:type="dxa"/>
          </w:tcPr>
          <w:p w14:paraId="3E8C56E9" w14:textId="77777777" w:rsidR="00FD0E9A" w:rsidRPr="00E6529B" w:rsidRDefault="00FD0E9A" w:rsidP="00FD0E9A">
            <w:pPr>
              <w:pStyle w:val="TableText"/>
            </w:pPr>
            <w:r w:rsidRPr="00E6529B">
              <w:t>Updated Contractor Project Management Plan</w:t>
            </w:r>
          </w:p>
        </w:tc>
        <w:tc>
          <w:tcPr>
            <w:tcW w:w="1525" w:type="dxa"/>
          </w:tcPr>
          <w:p w14:paraId="28EEF021" w14:textId="77777777" w:rsidR="00FD0E9A" w:rsidRPr="00AC0E30" w:rsidRDefault="00FD0E9A" w:rsidP="00FD0E9A">
            <w:r w:rsidRPr="00AC0E30">
              <w:t>AbleVets</w:t>
            </w:r>
          </w:p>
        </w:tc>
      </w:tr>
      <w:tr w:rsidR="00FD0E9A" w:rsidRPr="00AC0E30" w14:paraId="2CBF2084" w14:textId="77777777" w:rsidTr="00E6529B">
        <w:tc>
          <w:tcPr>
            <w:tcW w:w="1345" w:type="dxa"/>
          </w:tcPr>
          <w:p w14:paraId="2B73B506" w14:textId="77777777" w:rsidR="00FD0E9A" w:rsidRPr="00E6529B" w:rsidRDefault="00FD0E9A" w:rsidP="00FD0E9A">
            <w:pPr>
              <w:pStyle w:val="TableText"/>
            </w:pPr>
            <w:r w:rsidRPr="00E6529B">
              <w:t>04/03/2019</w:t>
            </w:r>
          </w:p>
        </w:tc>
        <w:tc>
          <w:tcPr>
            <w:tcW w:w="1080" w:type="dxa"/>
          </w:tcPr>
          <w:p w14:paraId="10F46659" w14:textId="77777777" w:rsidR="00FD0E9A" w:rsidRPr="00E6529B" w:rsidRDefault="00FD0E9A" w:rsidP="00FD0E9A">
            <w:pPr>
              <w:pStyle w:val="TableText"/>
            </w:pPr>
            <w:r w:rsidRPr="00E6529B">
              <w:t>1.1</w:t>
            </w:r>
          </w:p>
        </w:tc>
        <w:tc>
          <w:tcPr>
            <w:tcW w:w="5400" w:type="dxa"/>
          </w:tcPr>
          <w:p w14:paraId="0B071C88" w14:textId="77777777" w:rsidR="00FD0E9A" w:rsidRPr="00E6529B" w:rsidRDefault="00FD0E9A" w:rsidP="00FD0E9A">
            <w:pPr>
              <w:pStyle w:val="TableText"/>
            </w:pPr>
            <w:r w:rsidRPr="00E6529B">
              <w:t>Updated Contractor Project Management Plan</w:t>
            </w:r>
          </w:p>
        </w:tc>
        <w:tc>
          <w:tcPr>
            <w:tcW w:w="1525" w:type="dxa"/>
          </w:tcPr>
          <w:p w14:paraId="2ADE49BA" w14:textId="77777777" w:rsidR="00FD0E9A" w:rsidRPr="00AC0E30" w:rsidRDefault="00FD0E9A" w:rsidP="00FD0E9A">
            <w:r w:rsidRPr="00AC0E30">
              <w:t>AbleVets</w:t>
            </w:r>
          </w:p>
        </w:tc>
      </w:tr>
      <w:tr w:rsidR="00FD0E9A" w:rsidRPr="00AC0E30" w14:paraId="7939908A" w14:textId="77777777" w:rsidTr="00E6529B">
        <w:tc>
          <w:tcPr>
            <w:tcW w:w="1345" w:type="dxa"/>
          </w:tcPr>
          <w:p w14:paraId="3B4F276B" w14:textId="77777777" w:rsidR="00FD0E9A" w:rsidRPr="00E6529B" w:rsidRDefault="00FD0E9A" w:rsidP="00FD0E9A">
            <w:pPr>
              <w:pStyle w:val="TableText"/>
            </w:pPr>
            <w:r w:rsidRPr="00E6529B">
              <w:t>03/04/2019</w:t>
            </w:r>
          </w:p>
        </w:tc>
        <w:tc>
          <w:tcPr>
            <w:tcW w:w="1080" w:type="dxa"/>
          </w:tcPr>
          <w:p w14:paraId="66A807F0" w14:textId="77777777" w:rsidR="00FD0E9A" w:rsidRPr="00E6529B" w:rsidRDefault="00FD0E9A" w:rsidP="00FD0E9A">
            <w:pPr>
              <w:pStyle w:val="TableText"/>
            </w:pPr>
            <w:r w:rsidRPr="00E6529B">
              <w:t>1.0</w:t>
            </w:r>
          </w:p>
        </w:tc>
        <w:tc>
          <w:tcPr>
            <w:tcW w:w="5400" w:type="dxa"/>
          </w:tcPr>
          <w:p w14:paraId="57457ABF" w14:textId="77777777" w:rsidR="00FD0E9A" w:rsidRPr="00E6529B" w:rsidRDefault="00FD0E9A" w:rsidP="00FD0E9A">
            <w:pPr>
              <w:pStyle w:val="TableText"/>
            </w:pPr>
            <w:r w:rsidRPr="00E6529B">
              <w:t>Initial draft of the document</w:t>
            </w:r>
          </w:p>
        </w:tc>
        <w:tc>
          <w:tcPr>
            <w:tcW w:w="1525" w:type="dxa"/>
          </w:tcPr>
          <w:p w14:paraId="1F82D532" w14:textId="77777777" w:rsidR="00FD0E9A" w:rsidRPr="00AC0E30" w:rsidRDefault="00FD0E9A" w:rsidP="00FD0E9A">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p w14:paraId="6F04B62A" w14:textId="1E5A1577" w:rsidR="00991E76"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0411062" w:history="1">
        <w:r w:rsidR="00991E76" w:rsidRPr="00804AC3">
          <w:rPr>
            <w:rStyle w:val="Hyperlink"/>
          </w:rPr>
          <w:t>1.</w:t>
        </w:r>
        <w:r w:rsidR="00991E76">
          <w:rPr>
            <w:rFonts w:asciiTheme="minorHAnsi" w:hAnsiTheme="minorHAnsi"/>
            <w:b w:val="0"/>
            <w:sz w:val="22"/>
          </w:rPr>
          <w:tab/>
        </w:r>
        <w:r w:rsidR="00991E76" w:rsidRPr="00804AC3">
          <w:rPr>
            <w:rStyle w:val="Hyperlink"/>
          </w:rPr>
          <w:t>Introduction</w:t>
        </w:r>
        <w:r w:rsidR="00991E76">
          <w:rPr>
            <w:webHidden/>
          </w:rPr>
          <w:tab/>
        </w:r>
        <w:r w:rsidR="00991E76">
          <w:rPr>
            <w:webHidden/>
          </w:rPr>
          <w:fldChar w:fldCharType="begin"/>
        </w:r>
        <w:r w:rsidR="00991E76">
          <w:rPr>
            <w:webHidden/>
          </w:rPr>
          <w:instrText xml:space="preserve"> PAGEREF _Toc20411062 \h </w:instrText>
        </w:r>
        <w:r w:rsidR="00991E76">
          <w:rPr>
            <w:webHidden/>
          </w:rPr>
        </w:r>
        <w:r w:rsidR="00991E76">
          <w:rPr>
            <w:webHidden/>
          </w:rPr>
          <w:fldChar w:fldCharType="separate"/>
        </w:r>
        <w:r w:rsidR="00991E76">
          <w:rPr>
            <w:webHidden/>
          </w:rPr>
          <w:t>1</w:t>
        </w:r>
        <w:r w:rsidR="00991E76">
          <w:rPr>
            <w:webHidden/>
          </w:rPr>
          <w:fldChar w:fldCharType="end"/>
        </w:r>
      </w:hyperlink>
    </w:p>
    <w:p w14:paraId="22CD553B" w14:textId="2C95956A" w:rsidR="00991E76" w:rsidRDefault="002A51A8">
      <w:pPr>
        <w:pStyle w:val="TOC2"/>
        <w:rPr>
          <w:rFonts w:asciiTheme="minorHAnsi" w:hAnsiTheme="minorHAnsi"/>
          <w:b w:val="0"/>
          <w:sz w:val="22"/>
        </w:rPr>
      </w:pPr>
      <w:hyperlink w:anchor="_Toc20411063" w:history="1">
        <w:r w:rsidR="00991E76" w:rsidRPr="00804AC3">
          <w:rPr>
            <w:rStyle w:val="Hyperlink"/>
          </w:rPr>
          <w:t>1.1.</w:t>
        </w:r>
        <w:r w:rsidR="00991E76">
          <w:rPr>
            <w:rFonts w:asciiTheme="minorHAnsi" w:hAnsiTheme="minorHAnsi"/>
            <w:b w:val="0"/>
            <w:sz w:val="22"/>
          </w:rPr>
          <w:tab/>
        </w:r>
        <w:r w:rsidR="00991E76" w:rsidRPr="00804AC3">
          <w:rPr>
            <w:rStyle w:val="Hyperlink"/>
          </w:rPr>
          <w:t>Project Overview</w:t>
        </w:r>
        <w:r w:rsidR="00991E76">
          <w:rPr>
            <w:webHidden/>
          </w:rPr>
          <w:tab/>
        </w:r>
        <w:r w:rsidR="00991E76">
          <w:rPr>
            <w:webHidden/>
          </w:rPr>
          <w:fldChar w:fldCharType="begin"/>
        </w:r>
        <w:r w:rsidR="00991E76">
          <w:rPr>
            <w:webHidden/>
          </w:rPr>
          <w:instrText xml:space="preserve"> PAGEREF _Toc20411063 \h </w:instrText>
        </w:r>
        <w:r w:rsidR="00991E76">
          <w:rPr>
            <w:webHidden/>
          </w:rPr>
        </w:r>
        <w:r w:rsidR="00991E76">
          <w:rPr>
            <w:webHidden/>
          </w:rPr>
          <w:fldChar w:fldCharType="separate"/>
        </w:r>
        <w:r w:rsidR="00991E76">
          <w:rPr>
            <w:webHidden/>
          </w:rPr>
          <w:t>1</w:t>
        </w:r>
        <w:r w:rsidR="00991E76">
          <w:rPr>
            <w:webHidden/>
          </w:rPr>
          <w:fldChar w:fldCharType="end"/>
        </w:r>
      </w:hyperlink>
    </w:p>
    <w:p w14:paraId="3A4B8888" w14:textId="2E5B20B8" w:rsidR="00991E76" w:rsidRDefault="002A51A8">
      <w:pPr>
        <w:pStyle w:val="TOC2"/>
        <w:rPr>
          <w:rFonts w:asciiTheme="minorHAnsi" w:hAnsiTheme="minorHAnsi"/>
          <w:b w:val="0"/>
          <w:sz w:val="22"/>
        </w:rPr>
      </w:pPr>
      <w:hyperlink w:anchor="_Toc20411064" w:history="1">
        <w:r w:rsidR="00991E76" w:rsidRPr="00804AC3">
          <w:rPr>
            <w:rStyle w:val="Hyperlink"/>
          </w:rPr>
          <w:t>1.2.</w:t>
        </w:r>
        <w:r w:rsidR="00991E76">
          <w:rPr>
            <w:rFonts w:asciiTheme="minorHAnsi" w:hAnsiTheme="minorHAnsi"/>
            <w:b w:val="0"/>
            <w:sz w:val="22"/>
          </w:rPr>
          <w:tab/>
        </w:r>
        <w:r w:rsidR="00991E76" w:rsidRPr="00804AC3">
          <w:rPr>
            <w:rStyle w:val="Hyperlink"/>
          </w:rPr>
          <w:t>Project Scope</w:t>
        </w:r>
        <w:r w:rsidR="00991E76">
          <w:rPr>
            <w:webHidden/>
          </w:rPr>
          <w:tab/>
        </w:r>
        <w:r w:rsidR="00991E76">
          <w:rPr>
            <w:webHidden/>
          </w:rPr>
          <w:fldChar w:fldCharType="begin"/>
        </w:r>
        <w:r w:rsidR="00991E76">
          <w:rPr>
            <w:webHidden/>
          </w:rPr>
          <w:instrText xml:space="preserve"> PAGEREF _Toc20411064 \h </w:instrText>
        </w:r>
        <w:r w:rsidR="00991E76">
          <w:rPr>
            <w:webHidden/>
          </w:rPr>
        </w:r>
        <w:r w:rsidR="00991E76">
          <w:rPr>
            <w:webHidden/>
          </w:rPr>
          <w:fldChar w:fldCharType="separate"/>
        </w:r>
        <w:r w:rsidR="00991E76">
          <w:rPr>
            <w:webHidden/>
          </w:rPr>
          <w:t>1</w:t>
        </w:r>
        <w:r w:rsidR="00991E76">
          <w:rPr>
            <w:webHidden/>
          </w:rPr>
          <w:fldChar w:fldCharType="end"/>
        </w:r>
      </w:hyperlink>
    </w:p>
    <w:p w14:paraId="7EC1A9E9" w14:textId="5AA6A320" w:rsidR="00991E76" w:rsidRDefault="002A51A8">
      <w:pPr>
        <w:pStyle w:val="TOC2"/>
        <w:rPr>
          <w:rFonts w:asciiTheme="minorHAnsi" w:hAnsiTheme="minorHAnsi"/>
          <w:b w:val="0"/>
          <w:sz w:val="22"/>
        </w:rPr>
      </w:pPr>
      <w:hyperlink w:anchor="_Toc20411065" w:history="1">
        <w:r w:rsidR="00991E76" w:rsidRPr="00804AC3">
          <w:rPr>
            <w:rStyle w:val="Hyperlink"/>
          </w:rPr>
          <w:t>1.3.</w:t>
        </w:r>
        <w:r w:rsidR="00991E76">
          <w:rPr>
            <w:rFonts w:asciiTheme="minorHAnsi" w:hAnsiTheme="minorHAnsi"/>
            <w:b w:val="0"/>
            <w:sz w:val="22"/>
          </w:rPr>
          <w:tab/>
        </w:r>
        <w:r w:rsidR="00991E76" w:rsidRPr="00804AC3">
          <w:rPr>
            <w:rStyle w:val="Hyperlink"/>
          </w:rPr>
          <w:t>Goals and Objectives</w:t>
        </w:r>
        <w:r w:rsidR="00991E76">
          <w:rPr>
            <w:webHidden/>
          </w:rPr>
          <w:tab/>
        </w:r>
        <w:r w:rsidR="00991E76">
          <w:rPr>
            <w:webHidden/>
          </w:rPr>
          <w:fldChar w:fldCharType="begin"/>
        </w:r>
        <w:r w:rsidR="00991E76">
          <w:rPr>
            <w:webHidden/>
          </w:rPr>
          <w:instrText xml:space="preserve"> PAGEREF _Toc20411065 \h </w:instrText>
        </w:r>
        <w:r w:rsidR="00991E76">
          <w:rPr>
            <w:webHidden/>
          </w:rPr>
        </w:r>
        <w:r w:rsidR="00991E76">
          <w:rPr>
            <w:webHidden/>
          </w:rPr>
          <w:fldChar w:fldCharType="separate"/>
        </w:r>
        <w:r w:rsidR="00991E76">
          <w:rPr>
            <w:webHidden/>
          </w:rPr>
          <w:t>3</w:t>
        </w:r>
        <w:r w:rsidR="00991E76">
          <w:rPr>
            <w:webHidden/>
          </w:rPr>
          <w:fldChar w:fldCharType="end"/>
        </w:r>
      </w:hyperlink>
    </w:p>
    <w:p w14:paraId="66A04E0C" w14:textId="4528DDC9" w:rsidR="00991E76" w:rsidRDefault="002A51A8">
      <w:pPr>
        <w:pStyle w:val="TOC2"/>
        <w:rPr>
          <w:rFonts w:asciiTheme="minorHAnsi" w:hAnsiTheme="minorHAnsi"/>
          <w:b w:val="0"/>
          <w:sz w:val="22"/>
        </w:rPr>
      </w:pPr>
      <w:hyperlink w:anchor="_Toc20411066" w:history="1">
        <w:r w:rsidR="00991E76" w:rsidRPr="00804AC3">
          <w:rPr>
            <w:rStyle w:val="Hyperlink"/>
          </w:rPr>
          <w:t>1.4.</w:t>
        </w:r>
        <w:r w:rsidR="00991E76">
          <w:rPr>
            <w:rFonts w:asciiTheme="minorHAnsi" w:hAnsiTheme="minorHAnsi"/>
            <w:b w:val="0"/>
            <w:sz w:val="22"/>
          </w:rPr>
          <w:tab/>
        </w:r>
        <w:r w:rsidR="00991E76" w:rsidRPr="00804AC3">
          <w:rPr>
            <w:rStyle w:val="Hyperlink"/>
          </w:rPr>
          <w:t>Technical Approach</w:t>
        </w:r>
        <w:r w:rsidR="00991E76">
          <w:rPr>
            <w:webHidden/>
          </w:rPr>
          <w:tab/>
        </w:r>
        <w:r w:rsidR="00991E76">
          <w:rPr>
            <w:webHidden/>
          </w:rPr>
          <w:fldChar w:fldCharType="begin"/>
        </w:r>
        <w:r w:rsidR="00991E76">
          <w:rPr>
            <w:webHidden/>
          </w:rPr>
          <w:instrText xml:space="preserve"> PAGEREF _Toc20411066 \h </w:instrText>
        </w:r>
        <w:r w:rsidR="00991E76">
          <w:rPr>
            <w:webHidden/>
          </w:rPr>
        </w:r>
        <w:r w:rsidR="00991E76">
          <w:rPr>
            <w:webHidden/>
          </w:rPr>
          <w:fldChar w:fldCharType="separate"/>
        </w:r>
        <w:r w:rsidR="00991E76">
          <w:rPr>
            <w:webHidden/>
          </w:rPr>
          <w:t>3</w:t>
        </w:r>
        <w:r w:rsidR="00991E76">
          <w:rPr>
            <w:webHidden/>
          </w:rPr>
          <w:fldChar w:fldCharType="end"/>
        </w:r>
      </w:hyperlink>
    </w:p>
    <w:p w14:paraId="2EDF0CAF" w14:textId="7249AFFB" w:rsidR="00991E76" w:rsidRDefault="002A51A8">
      <w:pPr>
        <w:pStyle w:val="TOC1"/>
        <w:rPr>
          <w:rFonts w:asciiTheme="minorHAnsi" w:hAnsiTheme="minorHAnsi"/>
          <w:b w:val="0"/>
          <w:sz w:val="22"/>
        </w:rPr>
      </w:pPr>
      <w:hyperlink w:anchor="_Toc20411067" w:history="1">
        <w:r w:rsidR="00991E76" w:rsidRPr="00804AC3">
          <w:rPr>
            <w:rStyle w:val="Hyperlink"/>
          </w:rPr>
          <w:t>2.</w:t>
        </w:r>
        <w:r w:rsidR="00991E76">
          <w:rPr>
            <w:rFonts w:asciiTheme="minorHAnsi" w:hAnsiTheme="minorHAnsi"/>
            <w:b w:val="0"/>
            <w:sz w:val="22"/>
          </w:rPr>
          <w:tab/>
        </w:r>
        <w:r w:rsidR="00991E76" w:rsidRPr="00804AC3">
          <w:rPr>
            <w:rStyle w:val="Hyperlink"/>
          </w:rPr>
          <w:t>Project Organization</w:t>
        </w:r>
        <w:r w:rsidR="00991E76">
          <w:rPr>
            <w:webHidden/>
          </w:rPr>
          <w:tab/>
        </w:r>
        <w:r w:rsidR="00991E76">
          <w:rPr>
            <w:webHidden/>
          </w:rPr>
          <w:fldChar w:fldCharType="begin"/>
        </w:r>
        <w:r w:rsidR="00991E76">
          <w:rPr>
            <w:webHidden/>
          </w:rPr>
          <w:instrText xml:space="preserve"> PAGEREF _Toc20411067 \h </w:instrText>
        </w:r>
        <w:r w:rsidR="00991E76">
          <w:rPr>
            <w:webHidden/>
          </w:rPr>
        </w:r>
        <w:r w:rsidR="00991E76">
          <w:rPr>
            <w:webHidden/>
          </w:rPr>
          <w:fldChar w:fldCharType="separate"/>
        </w:r>
        <w:r w:rsidR="00991E76">
          <w:rPr>
            <w:webHidden/>
          </w:rPr>
          <w:t>4</w:t>
        </w:r>
        <w:r w:rsidR="00991E76">
          <w:rPr>
            <w:webHidden/>
          </w:rPr>
          <w:fldChar w:fldCharType="end"/>
        </w:r>
      </w:hyperlink>
    </w:p>
    <w:p w14:paraId="3DF665BF" w14:textId="2C8B54F5" w:rsidR="00991E76" w:rsidRDefault="002A51A8">
      <w:pPr>
        <w:pStyle w:val="TOC2"/>
        <w:rPr>
          <w:rFonts w:asciiTheme="minorHAnsi" w:hAnsiTheme="minorHAnsi"/>
          <w:b w:val="0"/>
          <w:sz w:val="22"/>
        </w:rPr>
      </w:pPr>
      <w:hyperlink w:anchor="_Toc20411068" w:history="1">
        <w:r w:rsidR="00991E76" w:rsidRPr="00804AC3">
          <w:rPr>
            <w:rStyle w:val="Hyperlink"/>
          </w:rPr>
          <w:t>2.1.</w:t>
        </w:r>
        <w:r w:rsidR="00991E76">
          <w:rPr>
            <w:rFonts w:asciiTheme="minorHAnsi" w:hAnsiTheme="minorHAnsi"/>
            <w:b w:val="0"/>
            <w:sz w:val="22"/>
          </w:rPr>
          <w:tab/>
        </w:r>
        <w:r w:rsidR="00991E76" w:rsidRPr="00804AC3">
          <w:rPr>
            <w:rStyle w:val="Hyperlink"/>
          </w:rPr>
          <w:t>Stakeholders and Key Personnel</w:t>
        </w:r>
        <w:r w:rsidR="00991E76">
          <w:rPr>
            <w:webHidden/>
          </w:rPr>
          <w:tab/>
        </w:r>
        <w:r w:rsidR="00991E76">
          <w:rPr>
            <w:webHidden/>
          </w:rPr>
          <w:fldChar w:fldCharType="begin"/>
        </w:r>
        <w:r w:rsidR="00991E76">
          <w:rPr>
            <w:webHidden/>
          </w:rPr>
          <w:instrText xml:space="preserve"> PAGEREF _Toc20411068 \h </w:instrText>
        </w:r>
        <w:r w:rsidR="00991E76">
          <w:rPr>
            <w:webHidden/>
          </w:rPr>
        </w:r>
        <w:r w:rsidR="00991E76">
          <w:rPr>
            <w:webHidden/>
          </w:rPr>
          <w:fldChar w:fldCharType="separate"/>
        </w:r>
        <w:r w:rsidR="00991E76">
          <w:rPr>
            <w:webHidden/>
          </w:rPr>
          <w:t>5</w:t>
        </w:r>
        <w:r w:rsidR="00991E76">
          <w:rPr>
            <w:webHidden/>
          </w:rPr>
          <w:fldChar w:fldCharType="end"/>
        </w:r>
      </w:hyperlink>
    </w:p>
    <w:p w14:paraId="30AA37DD" w14:textId="74260DED" w:rsidR="00991E76" w:rsidRDefault="002A51A8">
      <w:pPr>
        <w:pStyle w:val="TOC1"/>
        <w:rPr>
          <w:rFonts w:asciiTheme="minorHAnsi" w:hAnsiTheme="minorHAnsi"/>
          <w:b w:val="0"/>
          <w:sz w:val="22"/>
        </w:rPr>
      </w:pPr>
      <w:hyperlink w:anchor="_Toc20411069" w:history="1">
        <w:r w:rsidR="00991E76" w:rsidRPr="00804AC3">
          <w:rPr>
            <w:rStyle w:val="Hyperlink"/>
          </w:rPr>
          <w:t>3.</w:t>
        </w:r>
        <w:r w:rsidR="00991E76">
          <w:rPr>
            <w:rFonts w:asciiTheme="minorHAnsi" w:hAnsiTheme="minorHAnsi"/>
            <w:b w:val="0"/>
            <w:sz w:val="22"/>
          </w:rPr>
          <w:tab/>
        </w:r>
        <w:r w:rsidR="00991E76" w:rsidRPr="00804AC3">
          <w:rPr>
            <w:rStyle w:val="Hyperlink"/>
          </w:rPr>
          <w:t>Testing</w:t>
        </w:r>
        <w:r w:rsidR="00991E76">
          <w:rPr>
            <w:webHidden/>
          </w:rPr>
          <w:tab/>
        </w:r>
        <w:r w:rsidR="00991E76">
          <w:rPr>
            <w:webHidden/>
          </w:rPr>
          <w:fldChar w:fldCharType="begin"/>
        </w:r>
        <w:r w:rsidR="00991E76">
          <w:rPr>
            <w:webHidden/>
          </w:rPr>
          <w:instrText xml:space="preserve"> PAGEREF _Toc20411069 \h </w:instrText>
        </w:r>
        <w:r w:rsidR="00991E76">
          <w:rPr>
            <w:webHidden/>
          </w:rPr>
        </w:r>
        <w:r w:rsidR="00991E76">
          <w:rPr>
            <w:webHidden/>
          </w:rPr>
          <w:fldChar w:fldCharType="separate"/>
        </w:r>
        <w:r w:rsidR="00991E76">
          <w:rPr>
            <w:webHidden/>
          </w:rPr>
          <w:t>6</w:t>
        </w:r>
        <w:r w:rsidR="00991E76">
          <w:rPr>
            <w:webHidden/>
          </w:rPr>
          <w:fldChar w:fldCharType="end"/>
        </w:r>
      </w:hyperlink>
    </w:p>
    <w:p w14:paraId="0D2DED35" w14:textId="51BF81A4" w:rsidR="00991E76" w:rsidRDefault="002A51A8">
      <w:pPr>
        <w:pStyle w:val="TOC1"/>
        <w:rPr>
          <w:rFonts w:asciiTheme="minorHAnsi" w:hAnsiTheme="minorHAnsi"/>
          <w:b w:val="0"/>
          <w:sz w:val="22"/>
        </w:rPr>
      </w:pPr>
      <w:hyperlink w:anchor="_Toc20411070" w:history="1">
        <w:r w:rsidR="00991E76" w:rsidRPr="00804AC3">
          <w:rPr>
            <w:rStyle w:val="Hyperlink"/>
          </w:rPr>
          <w:t>4.</w:t>
        </w:r>
        <w:r w:rsidR="00991E76">
          <w:rPr>
            <w:rFonts w:asciiTheme="minorHAnsi" w:hAnsiTheme="minorHAnsi"/>
            <w:b w:val="0"/>
            <w:sz w:val="22"/>
          </w:rPr>
          <w:tab/>
        </w:r>
        <w:r w:rsidR="00991E76" w:rsidRPr="00804AC3">
          <w:rPr>
            <w:rStyle w:val="Hyperlink"/>
          </w:rPr>
          <w:t>Monitoring and Control Mechanisms</w:t>
        </w:r>
        <w:r w:rsidR="00991E76">
          <w:rPr>
            <w:webHidden/>
          </w:rPr>
          <w:tab/>
        </w:r>
        <w:r w:rsidR="00991E76">
          <w:rPr>
            <w:webHidden/>
          </w:rPr>
          <w:fldChar w:fldCharType="begin"/>
        </w:r>
        <w:r w:rsidR="00991E76">
          <w:rPr>
            <w:webHidden/>
          </w:rPr>
          <w:instrText xml:space="preserve"> PAGEREF _Toc20411070 \h </w:instrText>
        </w:r>
        <w:r w:rsidR="00991E76">
          <w:rPr>
            <w:webHidden/>
          </w:rPr>
        </w:r>
        <w:r w:rsidR="00991E76">
          <w:rPr>
            <w:webHidden/>
          </w:rPr>
          <w:fldChar w:fldCharType="separate"/>
        </w:r>
        <w:r w:rsidR="00991E76">
          <w:rPr>
            <w:webHidden/>
          </w:rPr>
          <w:t>6</w:t>
        </w:r>
        <w:r w:rsidR="00991E76">
          <w:rPr>
            <w:webHidden/>
          </w:rPr>
          <w:fldChar w:fldCharType="end"/>
        </w:r>
      </w:hyperlink>
    </w:p>
    <w:p w14:paraId="35F1CE84" w14:textId="6965BC14" w:rsidR="00991E76" w:rsidRDefault="002A51A8">
      <w:pPr>
        <w:pStyle w:val="TOC2"/>
        <w:rPr>
          <w:rFonts w:asciiTheme="minorHAnsi" w:hAnsiTheme="minorHAnsi"/>
          <w:b w:val="0"/>
          <w:sz w:val="22"/>
        </w:rPr>
      </w:pPr>
      <w:hyperlink w:anchor="_Toc20411071" w:history="1">
        <w:r w:rsidR="00991E76" w:rsidRPr="00804AC3">
          <w:rPr>
            <w:rStyle w:val="Hyperlink"/>
          </w:rPr>
          <w:t>4.1.</w:t>
        </w:r>
        <w:r w:rsidR="00991E76">
          <w:rPr>
            <w:rFonts w:asciiTheme="minorHAnsi" w:hAnsiTheme="minorHAnsi"/>
            <w:b w:val="0"/>
            <w:sz w:val="22"/>
          </w:rPr>
          <w:tab/>
        </w:r>
        <w:r w:rsidR="00991E76" w:rsidRPr="00804AC3">
          <w:rPr>
            <w:rStyle w:val="Hyperlink"/>
          </w:rPr>
          <w:t>Budget Monitoring</w:t>
        </w:r>
        <w:r w:rsidR="00991E76">
          <w:rPr>
            <w:webHidden/>
          </w:rPr>
          <w:tab/>
        </w:r>
        <w:r w:rsidR="00991E76">
          <w:rPr>
            <w:webHidden/>
          </w:rPr>
          <w:fldChar w:fldCharType="begin"/>
        </w:r>
        <w:r w:rsidR="00991E76">
          <w:rPr>
            <w:webHidden/>
          </w:rPr>
          <w:instrText xml:space="preserve"> PAGEREF _Toc20411071 \h </w:instrText>
        </w:r>
        <w:r w:rsidR="00991E76">
          <w:rPr>
            <w:webHidden/>
          </w:rPr>
        </w:r>
        <w:r w:rsidR="00991E76">
          <w:rPr>
            <w:webHidden/>
          </w:rPr>
          <w:fldChar w:fldCharType="separate"/>
        </w:r>
        <w:r w:rsidR="00991E76">
          <w:rPr>
            <w:webHidden/>
          </w:rPr>
          <w:t>6</w:t>
        </w:r>
        <w:r w:rsidR="00991E76">
          <w:rPr>
            <w:webHidden/>
          </w:rPr>
          <w:fldChar w:fldCharType="end"/>
        </w:r>
      </w:hyperlink>
    </w:p>
    <w:p w14:paraId="188C63A4" w14:textId="42D3859B" w:rsidR="00991E76" w:rsidRDefault="002A51A8">
      <w:pPr>
        <w:pStyle w:val="TOC2"/>
        <w:rPr>
          <w:rFonts w:asciiTheme="minorHAnsi" w:hAnsiTheme="minorHAnsi"/>
          <w:b w:val="0"/>
          <w:sz w:val="22"/>
        </w:rPr>
      </w:pPr>
      <w:hyperlink w:anchor="_Toc20411072" w:history="1">
        <w:r w:rsidR="00991E76" w:rsidRPr="00804AC3">
          <w:rPr>
            <w:rStyle w:val="Hyperlink"/>
          </w:rPr>
          <w:t>4.2.</w:t>
        </w:r>
        <w:r w:rsidR="00991E76">
          <w:rPr>
            <w:rFonts w:asciiTheme="minorHAnsi" w:hAnsiTheme="minorHAnsi"/>
            <w:b w:val="0"/>
            <w:sz w:val="22"/>
          </w:rPr>
          <w:tab/>
        </w:r>
        <w:r w:rsidR="00991E76" w:rsidRPr="00804AC3">
          <w:rPr>
            <w:rStyle w:val="Hyperlink"/>
          </w:rPr>
          <w:t>Schedule Monitoring</w:t>
        </w:r>
        <w:r w:rsidR="00991E76">
          <w:rPr>
            <w:webHidden/>
          </w:rPr>
          <w:tab/>
        </w:r>
        <w:r w:rsidR="00991E76">
          <w:rPr>
            <w:webHidden/>
          </w:rPr>
          <w:fldChar w:fldCharType="begin"/>
        </w:r>
        <w:r w:rsidR="00991E76">
          <w:rPr>
            <w:webHidden/>
          </w:rPr>
          <w:instrText xml:space="preserve"> PAGEREF _Toc20411072 \h </w:instrText>
        </w:r>
        <w:r w:rsidR="00991E76">
          <w:rPr>
            <w:webHidden/>
          </w:rPr>
        </w:r>
        <w:r w:rsidR="00991E76">
          <w:rPr>
            <w:webHidden/>
          </w:rPr>
          <w:fldChar w:fldCharType="separate"/>
        </w:r>
        <w:r w:rsidR="00991E76">
          <w:rPr>
            <w:webHidden/>
          </w:rPr>
          <w:t>7</w:t>
        </w:r>
        <w:r w:rsidR="00991E76">
          <w:rPr>
            <w:webHidden/>
          </w:rPr>
          <w:fldChar w:fldCharType="end"/>
        </w:r>
      </w:hyperlink>
    </w:p>
    <w:p w14:paraId="5CD73B35" w14:textId="74F13199" w:rsidR="00991E76" w:rsidRDefault="002A51A8">
      <w:pPr>
        <w:pStyle w:val="TOC2"/>
        <w:rPr>
          <w:rFonts w:asciiTheme="minorHAnsi" w:hAnsiTheme="minorHAnsi"/>
          <w:b w:val="0"/>
          <w:sz w:val="22"/>
        </w:rPr>
      </w:pPr>
      <w:hyperlink w:anchor="_Toc20411073" w:history="1">
        <w:r w:rsidR="00991E76" w:rsidRPr="00804AC3">
          <w:rPr>
            <w:rStyle w:val="Hyperlink"/>
          </w:rPr>
          <w:t>4.3.</w:t>
        </w:r>
        <w:r w:rsidR="00991E76">
          <w:rPr>
            <w:rFonts w:asciiTheme="minorHAnsi" w:hAnsiTheme="minorHAnsi"/>
            <w:b w:val="0"/>
            <w:sz w:val="22"/>
          </w:rPr>
          <w:tab/>
        </w:r>
        <w:r w:rsidR="00991E76" w:rsidRPr="00804AC3">
          <w:rPr>
            <w:rStyle w:val="Hyperlink"/>
          </w:rPr>
          <w:t>Risk Monitoring</w:t>
        </w:r>
        <w:r w:rsidR="00991E76">
          <w:rPr>
            <w:webHidden/>
          </w:rPr>
          <w:tab/>
        </w:r>
        <w:r w:rsidR="00991E76">
          <w:rPr>
            <w:webHidden/>
          </w:rPr>
          <w:fldChar w:fldCharType="begin"/>
        </w:r>
        <w:r w:rsidR="00991E76">
          <w:rPr>
            <w:webHidden/>
          </w:rPr>
          <w:instrText xml:space="preserve"> PAGEREF _Toc20411073 \h </w:instrText>
        </w:r>
        <w:r w:rsidR="00991E76">
          <w:rPr>
            <w:webHidden/>
          </w:rPr>
        </w:r>
        <w:r w:rsidR="00991E76">
          <w:rPr>
            <w:webHidden/>
          </w:rPr>
          <w:fldChar w:fldCharType="separate"/>
        </w:r>
        <w:r w:rsidR="00991E76">
          <w:rPr>
            <w:webHidden/>
          </w:rPr>
          <w:t>7</w:t>
        </w:r>
        <w:r w:rsidR="00991E76">
          <w:rPr>
            <w:webHidden/>
          </w:rPr>
          <w:fldChar w:fldCharType="end"/>
        </w:r>
      </w:hyperlink>
    </w:p>
    <w:p w14:paraId="480735AC" w14:textId="5D84BE6F" w:rsidR="00991E76" w:rsidRDefault="002A51A8">
      <w:pPr>
        <w:pStyle w:val="TOC1"/>
        <w:rPr>
          <w:rFonts w:asciiTheme="minorHAnsi" w:hAnsiTheme="minorHAnsi"/>
          <w:b w:val="0"/>
          <w:sz w:val="22"/>
        </w:rPr>
      </w:pPr>
      <w:hyperlink w:anchor="_Toc20411074" w:history="1">
        <w:r w:rsidR="00991E76" w:rsidRPr="00804AC3">
          <w:rPr>
            <w:rStyle w:val="Hyperlink"/>
          </w:rPr>
          <w:t>5.</w:t>
        </w:r>
        <w:r w:rsidR="00991E76">
          <w:rPr>
            <w:rFonts w:asciiTheme="minorHAnsi" w:hAnsiTheme="minorHAnsi"/>
            <w:b w:val="0"/>
            <w:sz w:val="22"/>
          </w:rPr>
          <w:tab/>
        </w:r>
        <w:r w:rsidR="00991E76" w:rsidRPr="00804AC3">
          <w:rPr>
            <w:rStyle w:val="Hyperlink"/>
          </w:rPr>
          <w:t>High-Level Build Schedule</w:t>
        </w:r>
        <w:r w:rsidR="00991E76">
          <w:rPr>
            <w:webHidden/>
          </w:rPr>
          <w:tab/>
        </w:r>
        <w:r w:rsidR="00991E76">
          <w:rPr>
            <w:webHidden/>
          </w:rPr>
          <w:fldChar w:fldCharType="begin"/>
        </w:r>
        <w:r w:rsidR="00991E76">
          <w:rPr>
            <w:webHidden/>
          </w:rPr>
          <w:instrText xml:space="preserve"> PAGEREF _Toc20411074 \h </w:instrText>
        </w:r>
        <w:r w:rsidR="00991E76">
          <w:rPr>
            <w:webHidden/>
          </w:rPr>
        </w:r>
        <w:r w:rsidR="00991E76">
          <w:rPr>
            <w:webHidden/>
          </w:rPr>
          <w:fldChar w:fldCharType="separate"/>
        </w:r>
        <w:r w:rsidR="00991E76">
          <w:rPr>
            <w:webHidden/>
          </w:rPr>
          <w:t>7</w:t>
        </w:r>
        <w:r w:rsidR="00991E76">
          <w:rPr>
            <w:webHidden/>
          </w:rPr>
          <w:fldChar w:fldCharType="end"/>
        </w:r>
      </w:hyperlink>
    </w:p>
    <w:p w14:paraId="57A2E405" w14:textId="52182C74" w:rsidR="00991E76" w:rsidRDefault="002A51A8">
      <w:pPr>
        <w:pStyle w:val="TOC1"/>
        <w:rPr>
          <w:rFonts w:asciiTheme="minorHAnsi" w:hAnsiTheme="minorHAnsi"/>
          <w:b w:val="0"/>
          <w:sz w:val="22"/>
        </w:rPr>
      </w:pPr>
      <w:hyperlink w:anchor="_Toc20411075" w:history="1">
        <w:r w:rsidR="00991E76" w:rsidRPr="00804AC3">
          <w:rPr>
            <w:rStyle w:val="Hyperlink"/>
          </w:rPr>
          <w:t>6.</w:t>
        </w:r>
        <w:r w:rsidR="00991E76">
          <w:rPr>
            <w:rFonts w:asciiTheme="minorHAnsi" w:hAnsiTheme="minorHAnsi"/>
            <w:b w:val="0"/>
            <w:sz w:val="22"/>
          </w:rPr>
          <w:tab/>
        </w:r>
        <w:r w:rsidR="00991E76" w:rsidRPr="00804AC3">
          <w:rPr>
            <w:rStyle w:val="Hyperlink"/>
          </w:rPr>
          <w:t>Project Success Criteria</w:t>
        </w:r>
        <w:r w:rsidR="00991E76">
          <w:rPr>
            <w:webHidden/>
          </w:rPr>
          <w:tab/>
        </w:r>
        <w:r w:rsidR="00991E76">
          <w:rPr>
            <w:webHidden/>
          </w:rPr>
          <w:fldChar w:fldCharType="begin"/>
        </w:r>
        <w:r w:rsidR="00991E76">
          <w:rPr>
            <w:webHidden/>
          </w:rPr>
          <w:instrText xml:space="preserve"> PAGEREF _Toc20411075 \h </w:instrText>
        </w:r>
        <w:r w:rsidR="00991E76">
          <w:rPr>
            <w:webHidden/>
          </w:rPr>
        </w:r>
        <w:r w:rsidR="00991E76">
          <w:rPr>
            <w:webHidden/>
          </w:rPr>
          <w:fldChar w:fldCharType="separate"/>
        </w:r>
        <w:r w:rsidR="00991E76">
          <w:rPr>
            <w:webHidden/>
          </w:rPr>
          <w:t>7</w:t>
        </w:r>
        <w:r w:rsidR="00991E76">
          <w:rPr>
            <w:webHidden/>
          </w:rPr>
          <w:fldChar w:fldCharType="end"/>
        </w:r>
      </w:hyperlink>
    </w:p>
    <w:p w14:paraId="1F127A2C" w14:textId="06A50C54" w:rsidR="00991E76" w:rsidRDefault="002A51A8">
      <w:pPr>
        <w:pStyle w:val="TOC1"/>
        <w:rPr>
          <w:rFonts w:asciiTheme="minorHAnsi" w:hAnsiTheme="minorHAnsi"/>
          <w:b w:val="0"/>
          <w:sz w:val="22"/>
        </w:rPr>
      </w:pPr>
      <w:hyperlink w:anchor="_Toc20411076" w:history="1">
        <w:r w:rsidR="00991E76" w:rsidRPr="00804AC3">
          <w:rPr>
            <w:rStyle w:val="Hyperlink"/>
          </w:rPr>
          <w:t>7.</w:t>
        </w:r>
        <w:r w:rsidR="00991E76">
          <w:rPr>
            <w:rFonts w:asciiTheme="minorHAnsi" w:hAnsiTheme="minorHAnsi"/>
            <w:b w:val="0"/>
            <w:sz w:val="22"/>
          </w:rPr>
          <w:tab/>
        </w:r>
        <w:r w:rsidR="00991E76" w:rsidRPr="00804AC3">
          <w:rPr>
            <w:rStyle w:val="Hyperlink"/>
          </w:rPr>
          <w:t>Communication Management Plan</w:t>
        </w:r>
        <w:r w:rsidR="00991E76">
          <w:rPr>
            <w:webHidden/>
          </w:rPr>
          <w:tab/>
        </w:r>
        <w:r w:rsidR="00991E76">
          <w:rPr>
            <w:webHidden/>
          </w:rPr>
          <w:fldChar w:fldCharType="begin"/>
        </w:r>
        <w:r w:rsidR="00991E76">
          <w:rPr>
            <w:webHidden/>
          </w:rPr>
          <w:instrText xml:space="preserve"> PAGEREF _Toc20411076 \h </w:instrText>
        </w:r>
        <w:r w:rsidR="00991E76">
          <w:rPr>
            <w:webHidden/>
          </w:rPr>
        </w:r>
        <w:r w:rsidR="00991E76">
          <w:rPr>
            <w:webHidden/>
          </w:rPr>
          <w:fldChar w:fldCharType="separate"/>
        </w:r>
        <w:r w:rsidR="00991E76">
          <w:rPr>
            <w:webHidden/>
          </w:rPr>
          <w:t>8</w:t>
        </w:r>
        <w:r w:rsidR="00991E76">
          <w:rPr>
            <w:webHidden/>
          </w:rPr>
          <w:fldChar w:fldCharType="end"/>
        </w:r>
      </w:hyperlink>
    </w:p>
    <w:p w14:paraId="22E5A21C" w14:textId="0D8B20FE" w:rsidR="00991E76" w:rsidRDefault="002A51A8">
      <w:pPr>
        <w:pStyle w:val="TOC1"/>
        <w:rPr>
          <w:rFonts w:asciiTheme="minorHAnsi" w:hAnsiTheme="minorHAnsi"/>
          <w:b w:val="0"/>
          <w:sz w:val="22"/>
        </w:rPr>
      </w:pPr>
      <w:hyperlink w:anchor="_Toc20411077" w:history="1">
        <w:r w:rsidR="00991E76" w:rsidRPr="00804AC3">
          <w:rPr>
            <w:rStyle w:val="Hyperlink"/>
          </w:rPr>
          <w:t>8.</w:t>
        </w:r>
        <w:r w:rsidR="00991E76">
          <w:rPr>
            <w:rFonts w:asciiTheme="minorHAnsi" w:hAnsiTheme="minorHAnsi"/>
            <w:b w:val="0"/>
            <w:sz w:val="22"/>
          </w:rPr>
          <w:tab/>
        </w:r>
        <w:r w:rsidR="00991E76" w:rsidRPr="00804AC3">
          <w:rPr>
            <w:rStyle w:val="Hyperlink"/>
          </w:rPr>
          <w:t>Risk Management Plan</w:t>
        </w:r>
        <w:r w:rsidR="00991E76">
          <w:rPr>
            <w:webHidden/>
          </w:rPr>
          <w:tab/>
        </w:r>
        <w:r w:rsidR="00991E76">
          <w:rPr>
            <w:webHidden/>
          </w:rPr>
          <w:fldChar w:fldCharType="begin"/>
        </w:r>
        <w:r w:rsidR="00991E76">
          <w:rPr>
            <w:webHidden/>
          </w:rPr>
          <w:instrText xml:space="preserve"> PAGEREF _Toc20411077 \h </w:instrText>
        </w:r>
        <w:r w:rsidR="00991E76">
          <w:rPr>
            <w:webHidden/>
          </w:rPr>
        </w:r>
        <w:r w:rsidR="00991E76">
          <w:rPr>
            <w:webHidden/>
          </w:rPr>
          <w:fldChar w:fldCharType="separate"/>
        </w:r>
        <w:r w:rsidR="00991E76">
          <w:rPr>
            <w:webHidden/>
          </w:rPr>
          <w:t>8</w:t>
        </w:r>
        <w:r w:rsidR="00991E76">
          <w:rPr>
            <w:webHidden/>
          </w:rPr>
          <w:fldChar w:fldCharType="end"/>
        </w:r>
      </w:hyperlink>
    </w:p>
    <w:p w14:paraId="5E88C185" w14:textId="0AB4F679" w:rsidR="00991E76" w:rsidRDefault="002A51A8">
      <w:pPr>
        <w:pStyle w:val="TOC2"/>
        <w:rPr>
          <w:rFonts w:asciiTheme="minorHAnsi" w:hAnsiTheme="minorHAnsi"/>
          <w:b w:val="0"/>
          <w:sz w:val="22"/>
        </w:rPr>
      </w:pPr>
      <w:hyperlink w:anchor="_Toc20411078" w:history="1">
        <w:r w:rsidR="00991E76" w:rsidRPr="00804AC3">
          <w:rPr>
            <w:rStyle w:val="Hyperlink"/>
          </w:rPr>
          <w:t>8.1.</w:t>
        </w:r>
        <w:r w:rsidR="00991E76">
          <w:rPr>
            <w:rFonts w:asciiTheme="minorHAnsi" w:hAnsiTheme="minorHAnsi"/>
            <w:b w:val="0"/>
            <w:sz w:val="22"/>
          </w:rPr>
          <w:tab/>
        </w:r>
        <w:r w:rsidR="00991E76" w:rsidRPr="00804AC3">
          <w:rPr>
            <w:rStyle w:val="Hyperlink"/>
          </w:rPr>
          <w:t>Risk Identification</w:t>
        </w:r>
        <w:r w:rsidR="00991E76">
          <w:rPr>
            <w:webHidden/>
          </w:rPr>
          <w:tab/>
        </w:r>
        <w:r w:rsidR="00991E76">
          <w:rPr>
            <w:webHidden/>
          </w:rPr>
          <w:fldChar w:fldCharType="begin"/>
        </w:r>
        <w:r w:rsidR="00991E76">
          <w:rPr>
            <w:webHidden/>
          </w:rPr>
          <w:instrText xml:space="preserve"> PAGEREF _Toc20411078 \h </w:instrText>
        </w:r>
        <w:r w:rsidR="00991E76">
          <w:rPr>
            <w:webHidden/>
          </w:rPr>
        </w:r>
        <w:r w:rsidR="00991E76">
          <w:rPr>
            <w:webHidden/>
          </w:rPr>
          <w:fldChar w:fldCharType="separate"/>
        </w:r>
        <w:r w:rsidR="00991E76">
          <w:rPr>
            <w:webHidden/>
          </w:rPr>
          <w:t>9</w:t>
        </w:r>
        <w:r w:rsidR="00991E76">
          <w:rPr>
            <w:webHidden/>
          </w:rPr>
          <w:fldChar w:fldCharType="end"/>
        </w:r>
      </w:hyperlink>
    </w:p>
    <w:p w14:paraId="3F74F1BE" w14:textId="0372637F" w:rsidR="00991E76" w:rsidRDefault="002A51A8">
      <w:pPr>
        <w:pStyle w:val="TOC2"/>
        <w:rPr>
          <w:rFonts w:asciiTheme="minorHAnsi" w:hAnsiTheme="minorHAnsi"/>
          <w:b w:val="0"/>
          <w:sz w:val="22"/>
        </w:rPr>
      </w:pPr>
      <w:hyperlink w:anchor="_Toc20411079" w:history="1">
        <w:r w:rsidR="00991E76" w:rsidRPr="00804AC3">
          <w:rPr>
            <w:rStyle w:val="Hyperlink"/>
          </w:rPr>
          <w:t>8.2.</w:t>
        </w:r>
        <w:r w:rsidR="00991E76">
          <w:rPr>
            <w:rFonts w:asciiTheme="minorHAnsi" w:hAnsiTheme="minorHAnsi"/>
            <w:b w:val="0"/>
            <w:sz w:val="22"/>
          </w:rPr>
          <w:tab/>
        </w:r>
        <w:r w:rsidR="00991E76" w:rsidRPr="00804AC3">
          <w:rPr>
            <w:rStyle w:val="Hyperlink"/>
          </w:rPr>
          <w:t>Risk Analysis</w:t>
        </w:r>
        <w:r w:rsidR="00991E76">
          <w:rPr>
            <w:webHidden/>
          </w:rPr>
          <w:tab/>
        </w:r>
        <w:r w:rsidR="00991E76">
          <w:rPr>
            <w:webHidden/>
          </w:rPr>
          <w:fldChar w:fldCharType="begin"/>
        </w:r>
        <w:r w:rsidR="00991E76">
          <w:rPr>
            <w:webHidden/>
          </w:rPr>
          <w:instrText xml:space="preserve"> PAGEREF _Toc20411079 \h </w:instrText>
        </w:r>
        <w:r w:rsidR="00991E76">
          <w:rPr>
            <w:webHidden/>
          </w:rPr>
        </w:r>
        <w:r w:rsidR="00991E76">
          <w:rPr>
            <w:webHidden/>
          </w:rPr>
          <w:fldChar w:fldCharType="separate"/>
        </w:r>
        <w:r w:rsidR="00991E76">
          <w:rPr>
            <w:webHidden/>
          </w:rPr>
          <w:t>9</w:t>
        </w:r>
        <w:r w:rsidR="00991E76">
          <w:rPr>
            <w:webHidden/>
          </w:rPr>
          <w:fldChar w:fldCharType="end"/>
        </w:r>
      </w:hyperlink>
    </w:p>
    <w:p w14:paraId="046AEB7B" w14:textId="4E1ACD7F" w:rsidR="00991E76" w:rsidRDefault="002A51A8">
      <w:pPr>
        <w:pStyle w:val="TOC3"/>
        <w:rPr>
          <w:rFonts w:asciiTheme="minorHAnsi" w:hAnsiTheme="minorHAnsi"/>
          <w:b w:val="0"/>
          <w:sz w:val="22"/>
        </w:rPr>
      </w:pPr>
      <w:hyperlink w:anchor="_Toc20411080" w:history="1">
        <w:r w:rsidR="00991E76" w:rsidRPr="00804AC3">
          <w:rPr>
            <w:rStyle w:val="Hyperlink"/>
          </w:rPr>
          <w:t>8.2.1.</w:t>
        </w:r>
        <w:r w:rsidR="00991E76">
          <w:rPr>
            <w:rFonts w:asciiTheme="minorHAnsi" w:hAnsiTheme="minorHAnsi"/>
            <w:b w:val="0"/>
            <w:sz w:val="22"/>
          </w:rPr>
          <w:tab/>
        </w:r>
        <w:r w:rsidR="00991E76" w:rsidRPr="00804AC3">
          <w:rPr>
            <w:rStyle w:val="Hyperlink"/>
          </w:rPr>
          <w:t>Risk Probability</w:t>
        </w:r>
        <w:r w:rsidR="00991E76">
          <w:rPr>
            <w:webHidden/>
          </w:rPr>
          <w:tab/>
        </w:r>
        <w:r w:rsidR="00991E76">
          <w:rPr>
            <w:webHidden/>
          </w:rPr>
          <w:fldChar w:fldCharType="begin"/>
        </w:r>
        <w:r w:rsidR="00991E76">
          <w:rPr>
            <w:webHidden/>
          </w:rPr>
          <w:instrText xml:space="preserve"> PAGEREF _Toc20411080 \h </w:instrText>
        </w:r>
        <w:r w:rsidR="00991E76">
          <w:rPr>
            <w:webHidden/>
          </w:rPr>
        </w:r>
        <w:r w:rsidR="00991E76">
          <w:rPr>
            <w:webHidden/>
          </w:rPr>
          <w:fldChar w:fldCharType="separate"/>
        </w:r>
        <w:r w:rsidR="00991E76">
          <w:rPr>
            <w:webHidden/>
          </w:rPr>
          <w:t>9</w:t>
        </w:r>
        <w:r w:rsidR="00991E76">
          <w:rPr>
            <w:webHidden/>
          </w:rPr>
          <w:fldChar w:fldCharType="end"/>
        </w:r>
      </w:hyperlink>
    </w:p>
    <w:p w14:paraId="14D87EEA" w14:textId="21601BC9" w:rsidR="00991E76" w:rsidRDefault="002A51A8">
      <w:pPr>
        <w:pStyle w:val="TOC3"/>
        <w:rPr>
          <w:rFonts w:asciiTheme="minorHAnsi" w:hAnsiTheme="minorHAnsi"/>
          <w:b w:val="0"/>
          <w:sz w:val="22"/>
        </w:rPr>
      </w:pPr>
      <w:hyperlink w:anchor="_Toc20411081" w:history="1">
        <w:r w:rsidR="00991E76" w:rsidRPr="00804AC3">
          <w:rPr>
            <w:rStyle w:val="Hyperlink"/>
          </w:rPr>
          <w:t>8.2.2.</w:t>
        </w:r>
        <w:r w:rsidR="00991E76">
          <w:rPr>
            <w:rFonts w:asciiTheme="minorHAnsi" w:hAnsiTheme="minorHAnsi"/>
            <w:b w:val="0"/>
            <w:sz w:val="22"/>
          </w:rPr>
          <w:tab/>
        </w:r>
        <w:r w:rsidR="00991E76" w:rsidRPr="00804AC3">
          <w:rPr>
            <w:rStyle w:val="Hyperlink"/>
          </w:rPr>
          <w:t>Risk Impact</w:t>
        </w:r>
        <w:r w:rsidR="00991E76">
          <w:rPr>
            <w:webHidden/>
          </w:rPr>
          <w:tab/>
        </w:r>
        <w:r w:rsidR="00991E76">
          <w:rPr>
            <w:webHidden/>
          </w:rPr>
          <w:fldChar w:fldCharType="begin"/>
        </w:r>
        <w:r w:rsidR="00991E76">
          <w:rPr>
            <w:webHidden/>
          </w:rPr>
          <w:instrText xml:space="preserve"> PAGEREF _Toc20411081 \h </w:instrText>
        </w:r>
        <w:r w:rsidR="00991E76">
          <w:rPr>
            <w:webHidden/>
          </w:rPr>
        </w:r>
        <w:r w:rsidR="00991E76">
          <w:rPr>
            <w:webHidden/>
          </w:rPr>
          <w:fldChar w:fldCharType="separate"/>
        </w:r>
        <w:r w:rsidR="00991E76">
          <w:rPr>
            <w:webHidden/>
          </w:rPr>
          <w:t>10</w:t>
        </w:r>
        <w:r w:rsidR="00991E76">
          <w:rPr>
            <w:webHidden/>
          </w:rPr>
          <w:fldChar w:fldCharType="end"/>
        </w:r>
      </w:hyperlink>
    </w:p>
    <w:p w14:paraId="50899772" w14:textId="58F5F4CA" w:rsidR="00991E76" w:rsidRDefault="002A51A8">
      <w:pPr>
        <w:pStyle w:val="TOC3"/>
        <w:rPr>
          <w:rFonts w:asciiTheme="minorHAnsi" w:hAnsiTheme="minorHAnsi"/>
          <w:b w:val="0"/>
          <w:sz w:val="22"/>
        </w:rPr>
      </w:pPr>
      <w:hyperlink w:anchor="_Toc20411082" w:history="1">
        <w:r w:rsidR="00991E76" w:rsidRPr="00804AC3">
          <w:rPr>
            <w:rStyle w:val="Hyperlink"/>
          </w:rPr>
          <w:t>8.2.3.</w:t>
        </w:r>
        <w:r w:rsidR="00991E76">
          <w:rPr>
            <w:rFonts w:asciiTheme="minorHAnsi" w:hAnsiTheme="minorHAnsi"/>
            <w:b w:val="0"/>
            <w:sz w:val="22"/>
          </w:rPr>
          <w:tab/>
        </w:r>
        <w:r w:rsidR="00991E76" w:rsidRPr="00804AC3">
          <w:rPr>
            <w:rStyle w:val="Hyperlink"/>
          </w:rPr>
          <w:t>Risk Severity</w:t>
        </w:r>
        <w:r w:rsidR="00991E76">
          <w:rPr>
            <w:webHidden/>
          </w:rPr>
          <w:tab/>
        </w:r>
        <w:r w:rsidR="00991E76">
          <w:rPr>
            <w:webHidden/>
          </w:rPr>
          <w:fldChar w:fldCharType="begin"/>
        </w:r>
        <w:r w:rsidR="00991E76">
          <w:rPr>
            <w:webHidden/>
          </w:rPr>
          <w:instrText xml:space="preserve"> PAGEREF _Toc20411082 \h </w:instrText>
        </w:r>
        <w:r w:rsidR="00991E76">
          <w:rPr>
            <w:webHidden/>
          </w:rPr>
        </w:r>
        <w:r w:rsidR="00991E76">
          <w:rPr>
            <w:webHidden/>
          </w:rPr>
          <w:fldChar w:fldCharType="separate"/>
        </w:r>
        <w:r w:rsidR="00991E76">
          <w:rPr>
            <w:webHidden/>
          </w:rPr>
          <w:t>10</w:t>
        </w:r>
        <w:r w:rsidR="00991E76">
          <w:rPr>
            <w:webHidden/>
          </w:rPr>
          <w:fldChar w:fldCharType="end"/>
        </w:r>
      </w:hyperlink>
    </w:p>
    <w:p w14:paraId="409398F0" w14:textId="76B3E929"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5D909AFC" w14:textId="00CF59D3" w:rsidR="00991E76" w:rsidRDefault="007F5DE7">
      <w:pPr>
        <w:pStyle w:val="TableofFigures"/>
        <w:tabs>
          <w:tab w:val="right" w:leader="dot" w:pos="9350"/>
        </w:tabs>
        <w:rPr>
          <w:noProof/>
        </w:rPr>
      </w:pPr>
      <w:r>
        <w:fldChar w:fldCharType="begin"/>
      </w:r>
      <w:r>
        <w:instrText xml:space="preserve"> TOC \h \z \c "Figure" </w:instrText>
      </w:r>
      <w:r>
        <w:fldChar w:fldCharType="separate"/>
      </w:r>
      <w:hyperlink w:anchor="_Toc20411083" w:history="1">
        <w:r w:rsidR="00991E76" w:rsidRPr="00EA678D">
          <w:rPr>
            <w:rStyle w:val="Hyperlink"/>
            <w:noProof/>
          </w:rPr>
          <w:t>Figure 1:  Project VA Organizational Chart</w:t>
        </w:r>
        <w:r w:rsidR="00991E76">
          <w:rPr>
            <w:noProof/>
            <w:webHidden/>
          </w:rPr>
          <w:tab/>
        </w:r>
        <w:r w:rsidR="00991E76">
          <w:rPr>
            <w:noProof/>
            <w:webHidden/>
          </w:rPr>
          <w:fldChar w:fldCharType="begin"/>
        </w:r>
        <w:r w:rsidR="00991E76">
          <w:rPr>
            <w:noProof/>
            <w:webHidden/>
          </w:rPr>
          <w:instrText xml:space="preserve"> PAGEREF _Toc20411083 \h </w:instrText>
        </w:r>
        <w:r w:rsidR="00991E76">
          <w:rPr>
            <w:noProof/>
            <w:webHidden/>
          </w:rPr>
        </w:r>
        <w:r w:rsidR="00991E76">
          <w:rPr>
            <w:noProof/>
            <w:webHidden/>
          </w:rPr>
          <w:fldChar w:fldCharType="separate"/>
        </w:r>
        <w:r w:rsidR="00991E76">
          <w:rPr>
            <w:noProof/>
            <w:webHidden/>
          </w:rPr>
          <w:t>4</w:t>
        </w:r>
        <w:r w:rsidR="00991E76">
          <w:rPr>
            <w:noProof/>
            <w:webHidden/>
          </w:rPr>
          <w:fldChar w:fldCharType="end"/>
        </w:r>
      </w:hyperlink>
    </w:p>
    <w:p w14:paraId="0F96A412" w14:textId="5E4B37E1" w:rsidR="00991E76" w:rsidRDefault="002A51A8">
      <w:pPr>
        <w:pStyle w:val="TableofFigures"/>
        <w:tabs>
          <w:tab w:val="right" w:leader="dot" w:pos="9350"/>
        </w:tabs>
        <w:rPr>
          <w:noProof/>
        </w:rPr>
      </w:pPr>
      <w:hyperlink w:anchor="_Toc20411084" w:history="1">
        <w:r w:rsidR="00991E76" w:rsidRPr="00EA678D">
          <w:rPr>
            <w:rStyle w:val="Hyperlink"/>
            <w:noProof/>
          </w:rPr>
          <w:t>Figure 2:  EAC Tool</w:t>
        </w:r>
        <w:r w:rsidR="00991E76">
          <w:rPr>
            <w:noProof/>
            <w:webHidden/>
          </w:rPr>
          <w:tab/>
        </w:r>
        <w:r w:rsidR="00991E76">
          <w:rPr>
            <w:noProof/>
            <w:webHidden/>
          </w:rPr>
          <w:fldChar w:fldCharType="begin"/>
        </w:r>
        <w:r w:rsidR="00991E76">
          <w:rPr>
            <w:noProof/>
            <w:webHidden/>
          </w:rPr>
          <w:instrText xml:space="preserve"> PAGEREF _Toc20411084 \h </w:instrText>
        </w:r>
        <w:r w:rsidR="00991E76">
          <w:rPr>
            <w:noProof/>
            <w:webHidden/>
          </w:rPr>
        </w:r>
        <w:r w:rsidR="00991E76">
          <w:rPr>
            <w:noProof/>
            <w:webHidden/>
          </w:rPr>
          <w:fldChar w:fldCharType="separate"/>
        </w:r>
        <w:r w:rsidR="00991E76">
          <w:rPr>
            <w:noProof/>
            <w:webHidden/>
          </w:rPr>
          <w:t>7</w:t>
        </w:r>
        <w:r w:rsidR="00991E76">
          <w:rPr>
            <w:noProof/>
            <w:webHidden/>
          </w:rPr>
          <w:fldChar w:fldCharType="end"/>
        </w:r>
      </w:hyperlink>
    </w:p>
    <w:p w14:paraId="7C428D02" w14:textId="086D20D1" w:rsidR="007F5DE7" w:rsidRDefault="007F5DE7" w:rsidP="007F5DE7">
      <w:r>
        <w:fldChar w:fldCharType="end"/>
      </w:r>
    </w:p>
    <w:p w14:paraId="20288EC6" w14:textId="77777777" w:rsidR="007F5DE7" w:rsidRDefault="007F5DE7" w:rsidP="007F5DE7">
      <w:pPr>
        <w:pStyle w:val="TOAHeading"/>
      </w:pPr>
      <w:r>
        <w:t>Table of Tables</w:t>
      </w:r>
    </w:p>
    <w:p w14:paraId="3A07CFEA" w14:textId="04AC9744" w:rsidR="00991E76" w:rsidRDefault="007F5DE7">
      <w:pPr>
        <w:pStyle w:val="TableofFigures"/>
        <w:tabs>
          <w:tab w:val="right" w:leader="dot" w:pos="9350"/>
        </w:tabs>
        <w:rPr>
          <w:noProof/>
        </w:rPr>
      </w:pPr>
      <w:r>
        <w:fldChar w:fldCharType="begin"/>
      </w:r>
      <w:r>
        <w:instrText xml:space="preserve"> TOC \h \z \c "Table" </w:instrText>
      </w:r>
      <w:r>
        <w:fldChar w:fldCharType="separate"/>
      </w:r>
      <w:hyperlink w:anchor="_Toc20411085" w:history="1">
        <w:r w:rsidR="00991E76" w:rsidRPr="002F44E4">
          <w:rPr>
            <w:rStyle w:val="Hyperlink"/>
            <w:noProof/>
          </w:rPr>
          <w:t>Table 1:  PWS Task Areas</w:t>
        </w:r>
        <w:r w:rsidR="00991E76">
          <w:rPr>
            <w:noProof/>
            <w:webHidden/>
          </w:rPr>
          <w:tab/>
        </w:r>
        <w:r w:rsidR="00991E76">
          <w:rPr>
            <w:noProof/>
            <w:webHidden/>
          </w:rPr>
          <w:fldChar w:fldCharType="begin"/>
        </w:r>
        <w:r w:rsidR="00991E76">
          <w:rPr>
            <w:noProof/>
            <w:webHidden/>
          </w:rPr>
          <w:instrText xml:space="preserve"> PAGEREF _Toc20411085 \h </w:instrText>
        </w:r>
        <w:r w:rsidR="00991E76">
          <w:rPr>
            <w:noProof/>
            <w:webHidden/>
          </w:rPr>
        </w:r>
        <w:r w:rsidR="00991E76">
          <w:rPr>
            <w:noProof/>
            <w:webHidden/>
          </w:rPr>
          <w:fldChar w:fldCharType="separate"/>
        </w:r>
        <w:r w:rsidR="00991E76">
          <w:rPr>
            <w:noProof/>
            <w:webHidden/>
          </w:rPr>
          <w:t>2</w:t>
        </w:r>
        <w:r w:rsidR="00991E76">
          <w:rPr>
            <w:noProof/>
            <w:webHidden/>
          </w:rPr>
          <w:fldChar w:fldCharType="end"/>
        </w:r>
      </w:hyperlink>
    </w:p>
    <w:p w14:paraId="58C00CC3" w14:textId="2E6FE086" w:rsidR="00991E76" w:rsidRDefault="002A51A8">
      <w:pPr>
        <w:pStyle w:val="TableofFigures"/>
        <w:tabs>
          <w:tab w:val="right" w:leader="dot" w:pos="9350"/>
        </w:tabs>
        <w:rPr>
          <w:noProof/>
        </w:rPr>
      </w:pPr>
      <w:hyperlink w:anchor="_Toc20411086" w:history="1">
        <w:r w:rsidR="00991E76" w:rsidRPr="002F44E4">
          <w:rPr>
            <w:rStyle w:val="Hyperlink"/>
            <w:noProof/>
          </w:rPr>
          <w:t>Table 2:  VA Stakeholders</w:t>
        </w:r>
        <w:r w:rsidR="00991E76">
          <w:rPr>
            <w:noProof/>
            <w:webHidden/>
          </w:rPr>
          <w:tab/>
        </w:r>
        <w:r w:rsidR="00991E76">
          <w:rPr>
            <w:noProof/>
            <w:webHidden/>
          </w:rPr>
          <w:fldChar w:fldCharType="begin"/>
        </w:r>
        <w:r w:rsidR="00991E76">
          <w:rPr>
            <w:noProof/>
            <w:webHidden/>
          </w:rPr>
          <w:instrText xml:space="preserve"> PAGEREF _Toc20411086 \h </w:instrText>
        </w:r>
        <w:r w:rsidR="00991E76">
          <w:rPr>
            <w:noProof/>
            <w:webHidden/>
          </w:rPr>
        </w:r>
        <w:r w:rsidR="00991E76">
          <w:rPr>
            <w:noProof/>
            <w:webHidden/>
          </w:rPr>
          <w:fldChar w:fldCharType="separate"/>
        </w:r>
        <w:r w:rsidR="00991E76">
          <w:rPr>
            <w:noProof/>
            <w:webHidden/>
          </w:rPr>
          <w:t>5</w:t>
        </w:r>
        <w:r w:rsidR="00991E76">
          <w:rPr>
            <w:noProof/>
            <w:webHidden/>
          </w:rPr>
          <w:fldChar w:fldCharType="end"/>
        </w:r>
      </w:hyperlink>
    </w:p>
    <w:p w14:paraId="5AB67CFD" w14:textId="4B0B0CB0" w:rsidR="00991E76" w:rsidRDefault="002A51A8">
      <w:pPr>
        <w:pStyle w:val="TableofFigures"/>
        <w:tabs>
          <w:tab w:val="right" w:leader="dot" w:pos="9350"/>
        </w:tabs>
        <w:rPr>
          <w:noProof/>
        </w:rPr>
      </w:pPr>
      <w:hyperlink w:anchor="_Toc20411087" w:history="1">
        <w:r w:rsidR="00991E76" w:rsidRPr="002F44E4">
          <w:rPr>
            <w:rStyle w:val="Hyperlink"/>
            <w:noProof/>
          </w:rPr>
          <w:t>Table 3:  Risk Probability Matrix</w:t>
        </w:r>
        <w:r w:rsidR="00991E76">
          <w:rPr>
            <w:noProof/>
            <w:webHidden/>
          </w:rPr>
          <w:tab/>
        </w:r>
        <w:r w:rsidR="00991E76">
          <w:rPr>
            <w:noProof/>
            <w:webHidden/>
          </w:rPr>
          <w:fldChar w:fldCharType="begin"/>
        </w:r>
        <w:r w:rsidR="00991E76">
          <w:rPr>
            <w:noProof/>
            <w:webHidden/>
          </w:rPr>
          <w:instrText xml:space="preserve"> PAGEREF _Toc20411087 \h </w:instrText>
        </w:r>
        <w:r w:rsidR="00991E76">
          <w:rPr>
            <w:noProof/>
            <w:webHidden/>
          </w:rPr>
        </w:r>
        <w:r w:rsidR="00991E76">
          <w:rPr>
            <w:noProof/>
            <w:webHidden/>
          </w:rPr>
          <w:fldChar w:fldCharType="separate"/>
        </w:r>
        <w:r w:rsidR="00991E76">
          <w:rPr>
            <w:noProof/>
            <w:webHidden/>
          </w:rPr>
          <w:t>9</w:t>
        </w:r>
        <w:r w:rsidR="00991E76">
          <w:rPr>
            <w:noProof/>
            <w:webHidden/>
          </w:rPr>
          <w:fldChar w:fldCharType="end"/>
        </w:r>
      </w:hyperlink>
    </w:p>
    <w:p w14:paraId="25E5E22F" w14:textId="4C6F85CD" w:rsidR="00991E76" w:rsidRDefault="002A51A8">
      <w:pPr>
        <w:pStyle w:val="TableofFigures"/>
        <w:tabs>
          <w:tab w:val="right" w:leader="dot" w:pos="9350"/>
        </w:tabs>
        <w:rPr>
          <w:noProof/>
        </w:rPr>
      </w:pPr>
      <w:hyperlink w:anchor="_Toc20411088" w:history="1">
        <w:r w:rsidR="00991E76" w:rsidRPr="002F44E4">
          <w:rPr>
            <w:rStyle w:val="Hyperlink"/>
            <w:noProof/>
          </w:rPr>
          <w:t>Table 4:  Risk Impact Matrix</w:t>
        </w:r>
        <w:r w:rsidR="00991E76">
          <w:rPr>
            <w:noProof/>
            <w:webHidden/>
          </w:rPr>
          <w:tab/>
        </w:r>
        <w:r w:rsidR="00991E76">
          <w:rPr>
            <w:noProof/>
            <w:webHidden/>
          </w:rPr>
          <w:fldChar w:fldCharType="begin"/>
        </w:r>
        <w:r w:rsidR="00991E76">
          <w:rPr>
            <w:noProof/>
            <w:webHidden/>
          </w:rPr>
          <w:instrText xml:space="preserve"> PAGEREF _Toc20411088 \h </w:instrText>
        </w:r>
        <w:r w:rsidR="00991E76">
          <w:rPr>
            <w:noProof/>
            <w:webHidden/>
          </w:rPr>
        </w:r>
        <w:r w:rsidR="00991E76">
          <w:rPr>
            <w:noProof/>
            <w:webHidden/>
          </w:rPr>
          <w:fldChar w:fldCharType="separate"/>
        </w:r>
        <w:r w:rsidR="00991E76">
          <w:rPr>
            <w:noProof/>
            <w:webHidden/>
          </w:rPr>
          <w:t>10</w:t>
        </w:r>
        <w:r w:rsidR="00991E76">
          <w:rPr>
            <w:noProof/>
            <w:webHidden/>
          </w:rPr>
          <w:fldChar w:fldCharType="end"/>
        </w:r>
      </w:hyperlink>
    </w:p>
    <w:p w14:paraId="7F22EA9B" w14:textId="204B7DB0" w:rsidR="00991E76" w:rsidRDefault="002A51A8">
      <w:pPr>
        <w:pStyle w:val="TableofFigures"/>
        <w:tabs>
          <w:tab w:val="right" w:leader="dot" w:pos="9350"/>
        </w:tabs>
        <w:rPr>
          <w:noProof/>
        </w:rPr>
      </w:pPr>
      <w:hyperlink w:anchor="_Toc20411089" w:history="1">
        <w:r w:rsidR="00991E76" w:rsidRPr="002F44E4">
          <w:rPr>
            <w:rStyle w:val="Hyperlink"/>
            <w:noProof/>
          </w:rPr>
          <w:t>Table 5:  Risk Severity Matrix</w:t>
        </w:r>
        <w:r w:rsidR="00991E76">
          <w:rPr>
            <w:noProof/>
            <w:webHidden/>
          </w:rPr>
          <w:tab/>
        </w:r>
        <w:r w:rsidR="00991E76">
          <w:rPr>
            <w:noProof/>
            <w:webHidden/>
          </w:rPr>
          <w:fldChar w:fldCharType="begin"/>
        </w:r>
        <w:r w:rsidR="00991E76">
          <w:rPr>
            <w:noProof/>
            <w:webHidden/>
          </w:rPr>
          <w:instrText xml:space="preserve"> PAGEREF _Toc20411089 \h </w:instrText>
        </w:r>
        <w:r w:rsidR="00991E76">
          <w:rPr>
            <w:noProof/>
            <w:webHidden/>
          </w:rPr>
        </w:r>
        <w:r w:rsidR="00991E76">
          <w:rPr>
            <w:noProof/>
            <w:webHidden/>
          </w:rPr>
          <w:fldChar w:fldCharType="separate"/>
        </w:r>
        <w:r w:rsidR="00991E76">
          <w:rPr>
            <w:noProof/>
            <w:webHidden/>
          </w:rPr>
          <w:t>10</w:t>
        </w:r>
        <w:r w:rsidR="00991E76">
          <w:rPr>
            <w:noProof/>
            <w:webHidden/>
          </w:rPr>
          <w:fldChar w:fldCharType="end"/>
        </w:r>
      </w:hyperlink>
    </w:p>
    <w:p w14:paraId="7D36519E" w14:textId="63CFE818" w:rsidR="00C36B4C" w:rsidRDefault="007F5DE7" w:rsidP="007F5DE7">
      <w:r>
        <w:fldChar w:fldCharType="end"/>
      </w:r>
    </w:p>
    <w:p w14:paraId="27E61103"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20411062"/>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w:t>
      </w:r>
      <w:proofErr w:type="spellStart"/>
      <w:r>
        <w:t>PoP</w:t>
      </w:r>
      <w:proofErr w:type="spellEnd"/>
      <w:r>
        <w:t>).</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20411063"/>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20411064"/>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20411085"/>
      <w:r>
        <w:t xml:space="preserve">Table </w:t>
      </w:r>
      <w:fldSimple w:instr=" SEQ Table \* ARABIC ">
        <w:r w:rsidR="00B372CA">
          <w:rPr>
            <w:noProof/>
          </w:rPr>
          <w:t>1</w:t>
        </w:r>
      </w:fldSimple>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20411065"/>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005F3271" w:rsidP="005F3271">
      <w:pPr>
        <w:pStyle w:val="ListBullet"/>
      </w:pPr>
      <w:r>
        <w:t>Reduce the cost and complexity of the maintenance of VistA systems</w:t>
      </w:r>
    </w:p>
    <w:p w14:paraId="72AA296E" w14:textId="77777777" w:rsidR="005F3271" w:rsidRDefault="005F3271" w:rsidP="005F3271">
      <w:pPr>
        <w:pStyle w:val="ListBullet"/>
      </w:pPr>
      <w:r>
        <w:t>Resolve severe security vulnerabilities of all VistA systems migrated to VAEC</w:t>
      </w:r>
    </w:p>
    <w:p w14:paraId="05044A8A" w14:textId="77777777" w:rsidR="005F3271" w:rsidRDefault="005F3271" w:rsidP="005F3271">
      <w:pPr>
        <w:pStyle w:val="ListBullet"/>
      </w:pPr>
      <w:r>
        <w:t>Full utilization of the scaling and features of VA’s new commercial cloud capabilities</w:t>
      </w:r>
    </w:p>
    <w:p w14:paraId="10AC4110" w14:textId="77777777" w:rsidR="005F3271" w:rsidRDefault="005F327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20411066"/>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20411067"/>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20411083"/>
      <w:r>
        <w:t xml:space="preserve">Figure </w:t>
      </w:r>
      <w:fldSimple w:instr=" SEQ Figure \* ARABIC ">
        <w:r w:rsidR="004C31E1">
          <w:rPr>
            <w:noProof/>
          </w:rPr>
          <w:t>1</w:t>
        </w:r>
      </w:fldSimple>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20411068"/>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00DE1470" w:rsidP="00DE1470">
      <w:pPr>
        <w:pStyle w:val="ListBullet"/>
      </w:pPr>
      <w:r>
        <w:t>Provides Team AbleVets with an understanding of the stakeholders’ perspective</w:t>
      </w:r>
    </w:p>
    <w:p w14:paraId="3C275303" w14:textId="77777777" w:rsidR="00DE1470" w:rsidRDefault="00DE1470" w:rsidP="00DE1470">
      <w:pPr>
        <w:pStyle w:val="ListBullet"/>
      </w:pPr>
      <w:r>
        <w:t>Ensures that all stakeholders’ expectations are addressed</w:t>
      </w:r>
    </w:p>
    <w:p w14:paraId="4BA878E0" w14:textId="77777777" w:rsidR="00DE1470" w:rsidRDefault="00DE1470" w:rsidP="00DE1470">
      <w:pPr>
        <w:pStyle w:val="ListBullet"/>
      </w:pPr>
      <w:r>
        <w:t>Instills stakeholder trust and cooperation</w:t>
      </w:r>
    </w:p>
    <w:p w14:paraId="1931FA9A" w14:textId="77777777" w:rsidR="003405A7" w:rsidRDefault="00DE1470"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Ref17977847"/>
      <w:bookmarkStart w:id="13" w:name="_Toc20411086"/>
      <w:r>
        <w:t xml:space="preserve">Table </w:t>
      </w:r>
      <w:fldSimple w:instr=" SEQ Table \* ARABIC ">
        <w:r w:rsidR="00B372CA">
          <w:rPr>
            <w:noProof/>
          </w:rPr>
          <w:t>2</w:t>
        </w:r>
      </w:fldSimple>
      <w:bookmarkEnd w:id="12"/>
      <w:r>
        <w:t>:  VA Stakeholders</w:t>
      </w:r>
      <w:bookmarkEnd w:id="13"/>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2A51A8" w:rsidP="000D0AA7">
            <w:pPr>
              <w:pStyle w:val="TableText"/>
            </w:pPr>
            <w:hyperlink r:id="rId17"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2A51A8" w:rsidP="000D0AA7">
            <w:pPr>
              <w:pStyle w:val="TableText"/>
            </w:pPr>
            <w:hyperlink r:id="rId18"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0E7D9469" w:rsidR="000A4644" w:rsidRPr="00646ACC" w:rsidRDefault="00DD3CC4" w:rsidP="000A4644">
            <w:pPr>
              <w:pStyle w:val="TableText"/>
            </w:pPr>
            <w:r>
              <w:t>Amanda J. Bleses</w:t>
            </w:r>
          </w:p>
        </w:tc>
        <w:tc>
          <w:tcPr>
            <w:tcW w:w="3060" w:type="dxa"/>
          </w:tcPr>
          <w:p w14:paraId="489E65FB" w14:textId="46715F38" w:rsidR="000A4644" w:rsidRDefault="00DD3CC4" w:rsidP="000A4644">
            <w:pPr>
              <w:pStyle w:val="TableText"/>
            </w:pPr>
            <w:r w:rsidRPr="00DD3CC4">
              <w:t>Amanda.Bleses@va.gov</w:t>
            </w:r>
          </w:p>
          <w:p w14:paraId="52C3A31C" w14:textId="4FD26440" w:rsidR="00DD3CC4" w:rsidRPr="00646ACC" w:rsidRDefault="00DD3CC4" w:rsidP="000A4644">
            <w:pPr>
              <w:pStyle w:val="TableText"/>
            </w:pPr>
            <w:r>
              <w:t>732-795-1054</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4" w:name="_Toc2601438"/>
            <w:r w:rsidRPr="00646ACC">
              <w:t>Contract Specialist</w:t>
            </w:r>
            <w:bookmarkEnd w:id="24"/>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5" w:name="_Toc2601439"/>
            <w:r w:rsidRPr="00646ACC">
              <w:t>Robert Goode</w:t>
            </w:r>
            <w:bookmarkEnd w:id="25"/>
          </w:p>
        </w:tc>
        <w:tc>
          <w:tcPr>
            <w:tcW w:w="3060" w:type="dxa"/>
          </w:tcPr>
          <w:p w14:paraId="0C5D87A9" w14:textId="77777777" w:rsidR="000A4644" w:rsidRPr="00646ACC" w:rsidRDefault="002A51A8" w:rsidP="000A4644">
            <w:pPr>
              <w:pStyle w:val="TableText"/>
            </w:pPr>
            <w:hyperlink r:id="rId19" w:history="1">
              <w:bookmarkStart w:id="26" w:name="_Toc2601440"/>
              <w:r w:rsidR="000A4644" w:rsidRPr="00646ACC">
                <w:t>Robert.Goode@va.gov</w:t>
              </w:r>
              <w:bookmarkEnd w:id="26"/>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7" w:name="_Toc2601443"/>
            <w:r w:rsidRPr="00646ACC">
              <w:t>Contracting Officer’s Representative (COR)</w:t>
            </w:r>
            <w:bookmarkEnd w:id="27"/>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8" w:name="_Toc2601452"/>
            <w:r w:rsidRPr="00646ACC">
              <w:t>Information Security Officer</w:t>
            </w:r>
            <w:bookmarkEnd w:id="28"/>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29" w:name="_Toc2601453"/>
            <w:r w:rsidRPr="00646ACC">
              <w:t>Jeff Miller</w:t>
            </w:r>
            <w:bookmarkEnd w:id="29"/>
          </w:p>
        </w:tc>
        <w:tc>
          <w:tcPr>
            <w:tcW w:w="3060" w:type="dxa"/>
          </w:tcPr>
          <w:p w14:paraId="6E4643C0" w14:textId="77777777" w:rsidR="000D0AA7" w:rsidRPr="00646ACC" w:rsidRDefault="000D0AA7" w:rsidP="000527CD">
            <w:pPr>
              <w:pStyle w:val="TableText"/>
            </w:pPr>
            <w:bookmarkStart w:id="30" w:name="_Toc2601454"/>
            <w:r w:rsidRPr="00646ACC">
              <w:t>Jeffrey.Miller7@va.gov</w:t>
            </w:r>
            <w:bookmarkEnd w:id="30"/>
            <w:r>
              <w:br/>
              <w:t>703-400-6859</w:t>
            </w:r>
          </w:p>
        </w:tc>
        <w:tc>
          <w:tcPr>
            <w:tcW w:w="1530" w:type="dxa"/>
          </w:tcPr>
          <w:p w14:paraId="18A20700" w14:textId="77777777" w:rsidR="000D0AA7" w:rsidRPr="00646ACC" w:rsidRDefault="000D0AA7" w:rsidP="000527CD">
            <w:pPr>
              <w:pStyle w:val="TableText"/>
            </w:pPr>
            <w:bookmarkStart w:id="31" w:name="_Toc2601455"/>
            <w:r w:rsidRPr="00646ACC">
              <w:t>Avinay Vaswani</w:t>
            </w:r>
            <w:bookmarkEnd w:id="31"/>
          </w:p>
        </w:tc>
        <w:tc>
          <w:tcPr>
            <w:tcW w:w="2790" w:type="dxa"/>
          </w:tcPr>
          <w:p w14:paraId="1AF3545B" w14:textId="77777777" w:rsidR="000D0AA7" w:rsidRPr="00646ACC" w:rsidRDefault="000D0AA7" w:rsidP="000527CD">
            <w:pPr>
              <w:pStyle w:val="TableText"/>
            </w:pPr>
            <w:bookmarkStart w:id="32" w:name="_Toc2601457"/>
            <w:r w:rsidRPr="00646ACC">
              <w:t>Account Vice President, AbleVets</w:t>
            </w:r>
            <w:bookmarkEnd w:id="32"/>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3" w:name="_Toc2601458"/>
            <w:r w:rsidRPr="00646ACC">
              <w:t>Tom Willcox</w:t>
            </w:r>
            <w:bookmarkEnd w:id="33"/>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4" w:name="_Toc2601459"/>
            <w:r w:rsidRPr="00646ACC">
              <w:t>Nilesh Lal</w:t>
            </w:r>
            <w:bookmarkEnd w:id="34"/>
          </w:p>
        </w:tc>
        <w:tc>
          <w:tcPr>
            <w:tcW w:w="2790" w:type="dxa"/>
          </w:tcPr>
          <w:p w14:paraId="77FEB4A1" w14:textId="77777777" w:rsidR="000D0AA7" w:rsidRPr="00646ACC" w:rsidRDefault="000D0AA7" w:rsidP="000527CD">
            <w:pPr>
              <w:pStyle w:val="TableText"/>
            </w:pPr>
            <w:bookmarkStart w:id="35" w:name="_Toc2601461"/>
            <w:r w:rsidRPr="00646ACC">
              <w:t>CIO, AbleVets</w:t>
            </w:r>
            <w:bookmarkEnd w:id="35"/>
          </w:p>
        </w:tc>
      </w:tr>
      <w:tr w:rsidR="000D0AA7" w:rsidRPr="00646ACC" w14:paraId="56E1DE8D" w14:textId="77777777" w:rsidTr="0065622A">
        <w:tc>
          <w:tcPr>
            <w:tcW w:w="2070" w:type="dxa"/>
          </w:tcPr>
          <w:p w14:paraId="050D310A" w14:textId="4044F3FF" w:rsidR="000D0AA7" w:rsidRPr="00646ACC" w:rsidRDefault="00DD3CC4" w:rsidP="000527CD">
            <w:pPr>
              <w:pStyle w:val="TableText"/>
            </w:pPr>
            <w:r>
              <w:t>Jim McCartin</w:t>
            </w:r>
          </w:p>
        </w:tc>
        <w:tc>
          <w:tcPr>
            <w:tcW w:w="3060" w:type="dxa"/>
          </w:tcPr>
          <w:p w14:paraId="0C185032" w14:textId="23CE0137" w:rsidR="000D0AA7" w:rsidRDefault="00DD3CC4" w:rsidP="000527CD">
            <w:pPr>
              <w:pStyle w:val="TableText"/>
            </w:pPr>
            <w:r w:rsidRPr="00DD3CC4">
              <w:t>James.McCartin@ablevets.com</w:t>
            </w:r>
          </w:p>
          <w:p w14:paraId="661EFBFD" w14:textId="1B47C435" w:rsidR="00DD3CC4" w:rsidRPr="00646ACC" w:rsidRDefault="00DD3CC4" w:rsidP="000527CD">
            <w:pPr>
              <w:pStyle w:val="TableText"/>
            </w:pPr>
            <w:r>
              <w:t>703-898-8884</w:t>
            </w:r>
          </w:p>
        </w:tc>
        <w:tc>
          <w:tcPr>
            <w:tcW w:w="1530" w:type="dxa"/>
          </w:tcPr>
          <w:p w14:paraId="4DB5F674" w14:textId="77777777" w:rsidR="000D0AA7" w:rsidRPr="00646ACC" w:rsidRDefault="000D0AA7" w:rsidP="000527CD">
            <w:pPr>
              <w:pStyle w:val="TableText"/>
            </w:pPr>
            <w:bookmarkStart w:id="36" w:name="_Toc2601464"/>
            <w:r w:rsidRPr="00646ACC">
              <w:t>Avinay Vaswani</w:t>
            </w:r>
            <w:bookmarkEnd w:id="36"/>
          </w:p>
        </w:tc>
        <w:tc>
          <w:tcPr>
            <w:tcW w:w="2790" w:type="dxa"/>
          </w:tcPr>
          <w:p w14:paraId="58BC9D0D" w14:textId="77777777" w:rsidR="000D0AA7" w:rsidRPr="00646ACC" w:rsidRDefault="000D0AA7" w:rsidP="000527CD">
            <w:pPr>
              <w:pStyle w:val="TableText"/>
            </w:pPr>
            <w:bookmarkStart w:id="37" w:name="_Toc2601465"/>
            <w:r w:rsidRPr="00646ACC">
              <w:t>Portfolio Director, AbleVets</w:t>
            </w:r>
            <w:bookmarkEnd w:id="37"/>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38" w:name="_Toc2601466"/>
            <w:r w:rsidRPr="00646ACC">
              <w:t>Nilesh Lal</w:t>
            </w:r>
            <w:bookmarkEnd w:id="38"/>
          </w:p>
        </w:tc>
        <w:tc>
          <w:tcPr>
            <w:tcW w:w="3060" w:type="dxa"/>
          </w:tcPr>
          <w:p w14:paraId="1F422DD1" w14:textId="77777777" w:rsidR="000D0AA7" w:rsidRPr="00646ACC" w:rsidRDefault="000D0AA7" w:rsidP="000527CD">
            <w:pPr>
              <w:pStyle w:val="TableText"/>
            </w:pPr>
            <w:bookmarkStart w:id="39" w:name="_Toc2601467"/>
            <w:r w:rsidRPr="00646ACC">
              <w:t>Nilesh.Lal@va.gov</w:t>
            </w:r>
            <w:bookmarkEnd w:id="39"/>
            <w:r>
              <w:br/>
              <w:t>240-476-5359</w:t>
            </w:r>
          </w:p>
        </w:tc>
        <w:tc>
          <w:tcPr>
            <w:tcW w:w="1530" w:type="dxa"/>
          </w:tcPr>
          <w:p w14:paraId="48E47FBF" w14:textId="77777777" w:rsidR="000D0AA7" w:rsidRPr="00646ACC" w:rsidRDefault="000D0AA7" w:rsidP="000527CD">
            <w:pPr>
              <w:pStyle w:val="TableText"/>
            </w:pPr>
            <w:bookmarkStart w:id="40" w:name="_Toc2601468"/>
            <w:r w:rsidRPr="00646ACC">
              <w:t>Christy Lentile</w:t>
            </w:r>
            <w:bookmarkEnd w:id="40"/>
          </w:p>
        </w:tc>
        <w:tc>
          <w:tcPr>
            <w:tcW w:w="2790" w:type="dxa"/>
          </w:tcPr>
          <w:p w14:paraId="01058D8B" w14:textId="77777777" w:rsidR="000D0AA7" w:rsidRPr="00646ACC" w:rsidRDefault="000D0AA7" w:rsidP="000527CD">
            <w:pPr>
              <w:pStyle w:val="TableText"/>
            </w:pPr>
            <w:bookmarkStart w:id="41" w:name="_Toc2601470"/>
            <w:r w:rsidRPr="00646ACC">
              <w:t>PM, AbleVets</w:t>
            </w:r>
            <w:bookmarkEnd w:id="41"/>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2" w:name="_Toc2601471"/>
            <w:r w:rsidRPr="00646ACC">
              <w:t>Conor Dowling</w:t>
            </w:r>
            <w:bookmarkEnd w:id="42"/>
          </w:p>
        </w:tc>
        <w:tc>
          <w:tcPr>
            <w:tcW w:w="3060" w:type="dxa"/>
          </w:tcPr>
          <w:p w14:paraId="32B73C75" w14:textId="77777777" w:rsidR="000D0AA7" w:rsidRPr="00646ACC" w:rsidRDefault="000D0AA7" w:rsidP="000527CD">
            <w:pPr>
              <w:pStyle w:val="TableText"/>
            </w:pPr>
            <w:bookmarkStart w:id="43" w:name="_Toc2601472"/>
            <w:r w:rsidRPr="00646ACC">
              <w:t>Conor.Dowling@va.gov</w:t>
            </w:r>
            <w:bookmarkEnd w:id="43"/>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4" w:name="_Toc2601474"/>
            <w:r w:rsidRPr="00646ACC">
              <w:t>Software Architect, Caregraf</w:t>
            </w:r>
            <w:bookmarkEnd w:id="44"/>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5" w:name="_Toc2601475"/>
            <w:r w:rsidRPr="00646ACC">
              <w:t>Renton Nip</w:t>
            </w:r>
            <w:bookmarkEnd w:id="45"/>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6" w:name="_Toc2601477"/>
            <w:r w:rsidRPr="00646ACC">
              <w:t>Manager, HRG</w:t>
            </w:r>
            <w:bookmarkEnd w:id="46"/>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47" w:name="_Toc2601478"/>
            <w:r w:rsidRPr="00646ACC">
              <w:t>Mike Furoyama</w:t>
            </w:r>
            <w:bookmarkEnd w:id="47"/>
          </w:p>
        </w:tc>
        <w:tc>
          <w:tcPr>
            <w:tcW w:w="3060" w:type="dxa"/>
          </w:tcPr>
          <w:p w14:paraId="4BEAA67A" w14:textId="77777777" w:rsidR="000D0AA7" w:rsidRPr="00646ACC" w:rsidRDefault="000D0AA7" w:rsidP="000527CD">
            <w:pPr>
              <w:pStyle w:val="TableText"/>
            </w:pPr>
            <w:bookmarkStart w:id="48" w:name="_Toc2601479"/>
            <w:r w:rsidRPr="00646ACC">
              <w:t>Michael.Furoyama@va.gov</w:t>
            </w:r>
            <w:bookmarkEnd w:id="48"/>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49" w:name="_Toc2601480"/>
            <w:r w:rsidRPr="00646ACC">
              <w:t>Sr. Developer, HRG</w:t>
            </w:r>
            <w:bookmarkEnd w:id="49"/>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00003A3B" w:rsidP="00003A3B">
      <w:pPr>
        <w:pStyle w:val="ListBullet"/>
      </w:pPr>
      <w:r>
        <w:lastRenderedPageBreak/>
        <w:t>Monitoring the contract to ensure that Team AbleVets successfully meets its obligations</w:t>
      </w:r>
    </w:p>
    <w:p w14:paraId="0302920A" w14:textId="77777777" w:rsidR="00003A3B" w:rsidRDefault="00003A3B" w:rsidP="00003A3B">
      <w:pPr>
        <w:pStyle w:val="ListBullet"/>
      </w:pPr>
      <w:r>
        <w:t>Monitoring Team AbleVets’ performance to ensure the services provided meet required standards</w:t>
      </w:r>
    </w:p>
    <w:p w14:paraId="14A92D3A" w14:textId="77777777" w:rsidR="00003A3B" w:rsidRDefault="00003A3B" w:rsidP="00003A3B">
      <w:pPr>
        <w:pStyle w:val="ListBullet"/>
      </w:pPr>
      <w:r>
        <w:t>Managing any and all changes permitted under the contract</w:t>
      </w:r>
    </w:p>
    <w:p w14:paraId="3938C844" w14:textId="77777777" w:rsidR="00C02DB3" w:rsidRPr="00C02DB3" w:rsidRDefault="00003A3B" w:rsidP="00003A3B">
      <w:pPr>
        <w:pStyle w:val="ListBullet"/>
      </w:pPr>
      <w:r>
        <w:t>Managing changes that are not identified in the contract</w:t>
      </w:r>
    </w:p>
    <w:p w14:paraId="52679A0A" w14:textId="77777777" w:rsidR="00DE1470" w:rsidRDefault="00314C47" w:rsidP="00314C47">
      <w:pPr>
        <w:pStyle w:val="Heading1"/>
      </w:pPr>
      <w:bookmarkStart w:id="50" w:name="_Toc20411069"/>
      <w:r>
        <w:t>Testing</w:t>
      </w:r>
      <w:bookmarkEnd w:id="50"/>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00B20AE5" w:rsidP="00B20AE5">
      <w:pPr>
        <w:pStyle w:val="ListBullet"/>
      </w:pPr>
      <w:r>
        <w:t>Execution Strategy:  Details how the test activities are performed</w:t>
      </w:r>
    </w:p>
    <w:p w14:paraId="4745A542" w14:textId="77777777" w:rsidR="00B20AE5" w:rsidRDefault="00B20AE5" w:rsidP="00B20AE5">
      <w:pPr>
        <w:pStyle w:val="ListBullet"/>
      </w:pPr>
      <w:r>
        <w:t>Test Management Plan:  Describes the design, execution, and process for test event issue resolution</w:t>
      </w:r>
    </w:p>
    <w:p w14:paraId="55E1B136" w14:textId="77777777" w:rsidR="00B20AE5" w:rsidRPr="00B20AE5" w:rsidRDefault="00B20AE5" w:rsidP="00B20AE5">
      <w:pPr>
        <w:pStyle w:val="BodyText"/>
      </w:pPr>
      <w:r w:rsidRPr="00B20AE5">
        <w:t>An RPC interface test suite has been created for developer-level tests, with execution schemes, for the following functional components:</w:t>
      </w:r>
    </w:p>
    <w:p w14:paraId="4E585575" w14:textId="77777777" w:rsidR="00B20AE5" w:rsidRDefault="00B20AE5" w:rsidP="00B20AE5">
      <w:pPr>
        <w:pStyle w:val="ListBullet"/>
      </w:pPr>
      <w:r>
        <w:t>RPC Monitor</w:t>
      </w:r>
    </w:p>
    <w:p w14:paraId="2DD35879" w14:textId="77777777" w:rsidR="00B20AE5" w:rsidRDefault="00B20AE5" w:rsidP="00B20AE5">
      <w:pPr>
        <w:pStyle w:val="ListBullet"/>
      </w:pPr>
      <w:r>
        <w:t>RPC Mirror</w:t>
      </w:r>
    </w:p>
    <w:p w14:paraId="1FF5F42C" w14:textId="77777777" w:rsidR="00314C47" w:rsidRDefault="00B20AE5" w:rsidP="00B20AE5">
      <w:pPr>
        <w:pStyle w:val="ListBullet"/>
      </w:pPr>
      <w:r>
        <w:t>RPC Definition Models</w:t>
      </w:r>
    </w:p>
    <w:p w14:paraId="39A50A23" w14:textId="77777777" w:rsidR="00B20AE5" w:rsidRDefault="00144B50" w:rsidP="00144B50">
      <w:pPr>
        <w:pStyle w:val="Heading1"/>
      </w:pPr>
      <w:bookmarkStart w:id="51" w:name="_Toc20411070"/>
      <w:r>
        <w:t>Monitoring and Control Mechanisms</w:t>
      </w:r>
      <w:bookmarkEnd w:id="51"/>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2" w:name="_Toc20411071"/>
      <w:r>
        <w:t>Budget Monitoring</w:t>
      </w:r>
      <w:bookmarkEnd w:id="52"/>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3" w:name="_Ref17977886"/>
      <w:bookmarkStart w:id="54" w:name="_Toc20411084"/>
      <w:r>
        <w:lastRenderedPageBreak/>
        <w:t xml:space="preserve">Figure </w:t>
      </w:r>
      <w:fldSimple w:instr=" SEQ Figure \* ARABIC ">
        <w:r>
          <w:rPr>
            <w:noProof/>
          </w:rPr>
          <w:t>2</w:t>
        </w:r>
      </w:fldSimple>
      <w:bookmarkEnd w:id="53"/>
      <w:r>
        <w:t>:  EAC Tool</w:t>
      </w:r>
      <w:bookmarkEnd w:id="54"/>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5" w:name="_Toc20411072"/>
      <w:r>
        <w:t>Schedule Monitoring</w:t>
      </w:r>
      <w:bookmarkEnd w:id="55"/>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00621ED3" w:rsidP="00621ED3">
      <w:pPr>
        <w:pStyle w:val="ListBullet"/>
      </w:pPr>
      <w:r>
        <w:t>Updating tasks, due dates, dependencies, resources and percentage of completion</w:t>
      </w:r>
    </w:p>
    <w:p w14:paraId="4EA84B05" w14:textId="77777777" w:rsidR="00621ED3" w:rsidRDefault="00621ED3" w:rsidP="00621ED3">
      <w:pPr>
        <w:pStyle w:val="ListBullet"/>
      </w:pPr>
      <w:r>
        <w:t>Adding/revising tasks, as needed</w:t>
      </w:r>
    </w:p>
    <w:p w14:paraId="2952D908" w14:textId="16C9D3B7" w:rsidR="00621ED3" w:rsidRDefault="00621ED3" w:rsidP="00621ED3">
      <w:pPr>
        <w:pStyle w:val="ListBullet"/>
      </w:pPr>
      <w:r>
        <w:t xml:space="preserve">Ensuring changes do </w:t>
      </w:r>
      <w:r w:rsidR="001329CC">
        <w:t>not</w:t>
      </w:r>
      <w:r>
        <w:t xml:space="preserve"> impact the critical path</w:t>
      </w:r>
    </w:p>
    <w:p w14:paraId="6A5CD60E" w14:textId="77777777" w:rsidR="00621ED3" w:rsidRDefault="00621ED3" w:rsidP="00621ED3">
      <w:pPr>
        <w:pStyle w:val="ListBullet"/>
      </w:pPr>
      <w:r>
        <w:t>Calculating the amount of slack on the critical path</w:t>
      </w:r>
    </w:p>
    <w:p w14:paraId="068CC23D" w14:textId="77777777" w:rsidR="00621ED3" w:rsidRDefault="00621ED3" w:rsidP="00621ED3">
      <w:pPr>
        <w:pStyle w:val="ListBullet"/>
      </w:pPr>
      <w:r>
        <w:t>Ensuring enough time to complete high-risk tasks</w:t>
      </w:r>
    </w:p>
    <w:p w14:paraId="610447E5" w14:textId="77777777" w:rsidR="006530C6" w:rsidRDefault="00621ED3" w:rsidP="00621ED3">
      <w:pPr>
        <w:pStyle w:val="ListBullet"/>
      </w:pPr>
      <w:r>
        <w:t>Validating that all project milestones are met</w:t>
      </w:r>
    </w:p>
    <w:p w14:paraId="7C46FCB2" w14:textId="77777777" w:rsidR="00621ED3" w:rsidRDefault="00AF117E" w:rsidP="00AF117E">
      <w:pPr>
        <w:pStyle w:val="Heading2"/>
      </w:pPr>
      <w:bookmarkStart w:id="56" w:name="_Toc20411073"/>
      <w:r>
        <w:t>Risk Monitoring</w:t>
      </w:r>
      <w:bookmarkEnd w:id="56"/>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57" w:name="_Toc20411074"/>
      <w:r>
        <w:t>High-Level Build Schedule</w:t>
      </w:r>
      <w:bookmarkEnd w:id="57"/>
    </w:p>
    <w:p w14:paraId="01E90BAD" w14:textId="77777777" w:rsidR="00EB5BD7" w:rsidRDefault="00EB5BD7" w:rsidP="00621ED3">
      <w:pPr>
        <w:pStyle w:val="BodyText"/>
      </w:pPr>
      <w:r w:rsidRPr="00EB5BD7">
        <w:t xml:space="preserve">The high-level build schedule is available within the </w:t>
      </w:r>
      <w:hyperlink r:id="rId21"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58" w:name="_Toc20411075"/>
      <w:r>
        <w:t>Project Success Criteria</w:t>
      </w:r>
      <w:bookmarkEnd w:id="58"/>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009E2787" w:rsidP="009E2787">
      <w:pPr>
        <w:pStyle w:val="ListBullet"/>
      </w:pPr>
      <w:r>
        <w:t>Customer satisfaction</w:t>
      </w:r>
    </w:p>
    <w:p w14:paraId="21FAAD93" w14:textId="77777777" w:rsidR="009E2787" w:rsidRDefault="009E2787" w:rsidP="009E2787">
      <w:pPr>
        <w:pStyle w:val="ListBullet"/>
      </w:pPr>
      <w:r>
        <w:t>Effective decision making</w:t>
      </w:r>
    </w:p>
    <w:p w14:paraId="28E19FDE" w14:textId="77777777" w:rsidR="009E2787" w:rsidRDefault="009E2787" w:rsidP="009E2787">
      <w:pPr>
        <w:pStyle w:val="ListBullet"/>
      </w:pPr>
      <w:r>
        <w:t>Managing change</w:t>
      </w:r>
    </w:p>
    <w:p w14:paraId="72BEDBB7" w14:textId="77777777" w:rsidR="009E2787" w:rsidRDefault="009E2787" w:rsidP="009E2787">
      <w:pPr>
        <w:pStyle w:val="ListBullet"/>
      </w:pPr>
      <w:r>
        <w:t>Crafting project schedules with realistic and obtainable delivery dates</w:t>
      </w:r>
    </w:p>
    <w:p w14:paraId="1EFFF40B" w14:textId="77777777" w:rsidR="009E2787" w:rsidRDefault="009E2787" w:rsidP="009E2787">
      <w:pPr>
        <w:pStyle w:val="ListBullet"/>
      </w:pPr>
      <w:r>
        <w:t>Minimal/no scope creep</w:t>
      </w:r>
    </w:p>
    <w:p w14:paraId="5C420783" w14:textId="77777777" w:rsidR="009E2787" w:rsidRDefault="009E2787" w:rsidP="009E2787">
      <w:pPr>
        <w:pStyle w:val="ListBullet"/>
      </w:pPr>
      <w:r>
        <w:t>Effective coordination with subcontractors</w:t>
      </w:r>
    </w:p>
    <w:p w14:paraId="6C270B4C" w14:textId="77777777" w:rsidR="009E2787" w:rsidRDefault="009E2787" w:rsidP="009E2787">
      <w:pPr>
        <w:pStyle w:val="ListBullet"/>
      </w:pPr>
      <w:r>
        <w:lastRenderedPageBreak/>
        <w:t>Effective communication with the integrated project team</w:t>
      </w:r>
    </w:p>
    <w:p w14:paraId="30E9533A" w14:textId="77777777" w:rsidR="009E2787" w:rsidRDefault="009E2787" w:rsidP="009E2787">
      <w:pPr>
        <w:pStyle w:val="ListBullet"/>
      </w:pPr>
      <w:r>
        <w:t>Immediate communication of project issues</w:t>
      </w:r>
    </w:p>
    <w:p w14:paraId="022AB237" w14:textId="77777777" w:rsidR="009E2787" w:rsidRDefault="009E2787" w:rsidP="009E2787">
      <w:pPr>
        <w:pStyle w:val="ListBullet"/>
      </w:pPr>
      <w:r>
        <w:t>Openly discussing issue resolution</w:t>
      </w:r>
    </w:p>
    <w:p w14:paraId="3B0388CD" w14:textId="77777777" w:rsidR="009E2787" w:rsidRDefault="009E2787" w:rsidP="009E2787">
      <w:pPr>
        <w:pStyle w:val="ListBullet"/>
      </w:pPr>
      <w:r>
        <w:t>Meeting user requirements</w:t>
      </w:r>
    </w:p>
    <w:p w14:paraId="11A3E962" w14:textId="77777777" w:rsidR="009E2787" w:rsidRDefault="009E2787" w:rsidP="009E2787">
      <w:pPr>
        <w:pStyle w:val="ListBullet"/>
      </w:pPr>
      <w:r>
        <w:t>Executing the project within budget</w:t>
      </w:r>
    </w:p>
    <w:p w14:paraId="583D14F7" w14:textId="77777777" w:rsidR="009E2787" w:rsidRDefault="009E2787" w:rsidP="009E2787">
      <w:pPr>
        <w:pStyle w:val="ListBullet"/>
      </w:pPr>
      <w:r>
        <w:t>Meeting project milestones</w:t>
      </w:r>
    </w:p>
    <w:p w14:paraId="3A5A22B2" w14:textId="77777777" w:rsidR="009E2787" w:rsidRDefault="009E2787" w:rsidP="009E2787">
      <w:pPr>
        <w:pStyle w:val="ListBullet"/>
      </w:pPr>
      <w:r>
        <w:t>Meeting quality criteria</w:t>
      </w:r>
    </w:p>
    <w:p w14:paraId="2EF1CDC6" w14:textId="77777777" w:rsidR="00432123" w:rsidRPr="00432123" w:rsidRDefault="009E2787" w:rsidP="009E2787">
      <w:pPr>
        <w:pStyle w:val="ListBullet"/>
      </w:pPr>
      <w:r>
        <w:t>Producing an easily maintainable product</w:t>
      </w:r>
    </w:p>
    <w:p w14:paraId="0D6FE6DF" w14:textId="77777777" w:rsidR="00EB5BD7" w:rsidRDefault="00F13134" w:rsidP="00F13134">
      <w:pPr>
        <w:pStyle w:val="Heading1"/>
      </w:pPr>
      <w:bookmarkStart w:id="59" w:name="_Toc20411076"/>
      <w:r>
        <w:t>Communication Management Plan</w:t>
      </w:r>
      <w:bookmarkEnd w:id="59"/>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00126D70" w:rsidP="00126D70">
      <w:pPr>
        <w:pStyle w:val="ListBullet"/>
      </w:pPr>
      <w:r>
        <w:t>Review strategic or Enterprise news that impacts the project</w:t>
      </w:r>
    </w:p>
    <w:p w14:paraId="18F831D3" w14:textId="77777777" w:rsidR="00126D70" w:rsidRDefault="00126D70" w:rsidP="00126D70">
      <w:pPr>
        <w:pStyle w:val="ListBullet"/>
      </w:pPr>
      <w:r>
        <w:t>Review the status of all open action items</w:t>
      </w:r>
    </w:p>
    <w:p w14:paraId="049C1E3C" w14:textId="77777777" w:rsidR="00126D70" w:rsidRDefault="00126D70" w:rsidP="00126D70">
      <w:pPr>
        <w:pStyle w:val="ListBullet"/>
      </w:pPr>
      <w:r>
        <w:t>Report all closed action items</w:t>
      </w:r>
    </w:p>
    <w:p w14:paraId="74408836" w14:textId="77777777" w:rsidR="00126D70" w:rsidRDefault="00126D70" w:rsidP="00126D70">
      <w:pPr>
        <w:pStyle w:val="ListBullet"/>
      </w:pPr>
      <w:r>
        <w:t>Review the key milestones and activities from the previous week, and the plan for the upcoming week</w:t>
      </w:r>
    </w:p>
    <w:p w14:paraId="6AB66418" w14:textId="77777777" w:rsidR="00126D70" w:rsidRDefault="00126D70" w:rsidP="00126D70">
      <w:pPr>
        <w:pStyle w:val="ListBullet"/>
      </w:pPr>
      <w:r>
        <w:t>Review the technical status, deployment/infrastructure status, and management processes</w:t>
      </w:r>
    </w:p>
    <w:p w14:paraId="722ADCE2" w14:textId="77777777" w:rsidR="00126D70" w:rsidRDefault="00126D70" w:rsidP="00126D70">
      <w:pPr>
        <w:pStyle w:val="ListBullet"/>
      </w:pPr>
      <w:r>
        <w:t>Discuss contractual or other items that warrant discussion</w:t>
      </w:r>
    </w:p>
    <w:p w14:paraId="7168C714" w14:textId="77777777" w:rsidR="00F13134" w:rsidRPr="00F13134" w:rsidRDefault="00126D70" w:rsidP="00126D70">
      <w:pPr>
        <w:pStyle w:val="ListBullet"/>
      </w:pPr>
      <w:r>
        <w:t>Confirm all new action items captured in the current week’s meeting</w:t>
      </w:r>
    </w:p>
    <w:p w14:paraId="5BAA4991" w14:textId="77777777" w:rsidR="00EB5BD7" w:rsidRDefault="006839DC" w:rsidP="006839DC">
      <w:pPr>
        <w:pStyle w:val="Heading1"/>
      </w:pPr>
      <w:bookmarkStart w:id="60" w:name="_Toc20411077"/>
      <w:r>
        <w:t>Risk Management Plan</w:t>
      </w:r>
      <w:bookmarkEnd w:id="60"/>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00D23763" w:rsidP="00D23763">
      <w:pPr>
        <w:pStyle w:val="ListBullet"/>
      </w:pPr>
      <w:r>
        <w:t>Identify the Risk:  The effort associated with identifying a risk and its potential impact on the project and documenting the risk’s characteristics.</w:t>
      </w:r>
    </w:p>
    <w:p w14:paraId="79139A70" w14:textId="77777777" w:rsidR="00D23763" w:rsidRDefault="00D23763" w:rsidP="00D23763">
      <w:pPr>
        <w:pStyle w:val="ListBullet"/>
      </w:pPr>
      <w:r>
        <w:lastRenderedPageBreak/>
        <w:t>Analyze the Risk:  The effort associated with evaluating the probability of occurrence, the impact on the project, and ranking the severity of the risk.</w:t>
      </w:r>
    </w:p>
    <w:p w14:paraId="0018BA98" w14:textId="77777777"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00D23763"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1" w:name="_Toc20411078"/>
      <w:r>
        <w:t>Risk Identification</w:t>
      </w:r>
      <w:bookmarkEnd w:id="61"/>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2" w:name="_Toc20411079"/>
      <w:r>
        <w:t>Risk Analysis</w:t>
      </w:r>
      <w:bookmarkEnd w:id="62"/>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3" w:name="_Toc20411080"/>
      <w:r>
        <w:t>Risk Probability</w:t>
      </w:r>
      <w:bookmarkEnd w:id="63"/>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4" w:name="_Ref12864820"/>
      <w:bookmarkStart w:id="65" w:name="_Toc20411087"/>
      <w:r>
        <w:t xml:space="preserve">Table </w:t>
      </w:r>
      <w:fldSimple w:instr=" SEQ Table \* ARABIC ">
        <w:r w:rsidR="00B372CA">
          <w:rPr>
            <w:noProof/>
          </w:rPr>
          <w:t>3</w:t>
        </w:r>
      </w:fldSimple>
      <w:bookmarkEnd w:id="64"/>
      <w:r>
        <w:t>:  Risk Probability Matrix</w:t>
      </w:r>
      <w:bookmarkEnd w:id="65"/>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6" w:name="_Toc20411081"/>
      <w:r>
        <w:lastRenderedPageBreak/>
        <w:t>Risk Impact</w:t>
      </w:r>
      <w:bookmarkEnd w:id="66"/>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67" w:name="_Ref12864884"/>
      <w:bookmarkStart w:id="68" w:name="_Toc20411088"/>
      <w:r>
        <w:t xml:space="preserve">Table </w:t>
      </w:r>
      <w:fldSimple w:instr=" SEQ Table \* ARABIC ">
        <w:r w:rsidR="00B372CA">
          <w:rPr>
            <w:noProof/>
          </w:rPr>
          <w:t>4</w:t>
        </w:r>
      </w:fldSimple>
      <w:bookmarkEnd w:id="67"/>
      <w:r>
        <w:t>:  Risk Impact Matrix</w:t>
      </w:r>
      <w:bookmarkEnd w:id="68"/>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69" w:name="_Toc20411082"/>
      <w:r>
        <w:t>Risk Severity</w:t>
      </w:r>
      <w:bookmarkEnd w:id="69"/>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0" w:name="_Ref12865054"/>
      <w:bookmarkStart w:id="71" w:name="_Toc20411089"/>
      <w:r>
        <w:t xml:space="preserve">Table </w:t>
      </w:r>
      <w:fldSimple w:instr=" SEQ Table \* ARABIC ">
        <w:r>
          <w:rPr>
            <w:noProof/>
          </w:rPr>
          <w:t>5</w:t>
        </w:r>
      </w:fldSimple>
      <w:bookmarkEnd w:id="70"/>
      <w:r>
        <w:t>:  Risk Severity Matrix</w:t>
      </w:r>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7EC3" w14:textId="77777777" w:rsidR="008E7149" w:rsidRDefault="008E7149" w:rsidP="00AE1DED">
      <w:pPr>
        <w:spacing w:before="0" w:after="0"/>
      </w:pPr>
      <w:r>
        <w:separator/>
      </w:r>
    </w:p>
  </w:endnote>
  <w:endnote w:type="continuationSeparator" w:id="0">
    <w:p w14:paraId="22D6DA4C" w14:textId="77777777" w:rsidR="008E7149" w:rsidRDefault="008E7149"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5E4FFF80"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2A51A8">
      <w:rPr>
        <w:noProof/>
      </w:rPr>
      <w:t>December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31712" w14:textId="77777777" w:rsidR="008E7149" w:rsidRDefault="008E7149" w:rsidP="00AE1DED">
      <w:pPr>
        <w:spacing w:before="0" w:after="0"/>
      </w:pPr>
      <w:r>
        <w:separator/>
      </w:r>
    </w:p>
  </w:footnote>
  <w:footnote w:type="continuationSeparator" w:id="0">
    <w:p w14:paraId="2CA74C1F" w14:textId="77777777" w:rsidR="008E7149" w:rsidRDefault="008E7149"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13A8"/>
    <w:rsid w:val="001329CC"/>
    <w:rsid w:val="00133D8E"/>
    <w:rsid w:val="00144B50"/>
    <w:rsid w:val="001615DA"/>
    <w:rsid w:val="001737E1"/>
    <w:rsid w:val="0019018D"/>
    <w:rsid w:val="0019071D"/>
    <w:rsid w:val="00192C83"/>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1A8"/>
    <w:rsid w:val="002A5AD0"/>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E3DFD"/>
    <w:rsid w:val="003F254E"/>
    <w:rsid w:val="003F2BEA"/>
    <w:rsid w:val="003F451F"/>
    <w:rsid w:val="003F6A31"/>
    <w:rsid w:val="0042319A"/>
    <w:rsid w:val="00432123"/>
    <w:rsid w:val="00432754"/>
    <w:rsid w:val="004479A6"/>
    <w:rsid w:val="00450173"/>
    <w:rsid w:val="00456CC5"/>
    <w:rsid w:val="0045779D"/>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3BCF"/>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84DE1"/>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B3C27"/>
    <w:rsid w:val="008C474C"/>
    <w:rsid w:val="008D166E"/>
    <w:rsid w:val="008D22A9"/>
    <w:rsid w:val="008D3E88"/>
    <w:rsid w:val="008D522B"/>
    <w:rsid w:val="008E0C08"/>
    <w:rsid w:val="008E4640"/>
    <w:rsid w:val="008E7149"/>
    <w:rsid w:val="009060B0"/>
    <w:rsid w:val="00922801"/>
    <w:rsid w:val="00934DD3"/>
    <w:rsid w:val="009832AB"/>
    <w:rsid w:val="00991E76"/>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950FD"/>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D3CC4"/>
    <w:rsid w:val="00DE1470"/>
    <w:rsid w:val="00DE2317"/>
    <w:rsid w:val="00DE2D1D"/>
    <w:rsid w:val="00DE354A"/>
    <w:rsid w:val="00E05E6F"/>
    <w:rsid w:val="00E10611"/>
    <w:rsid w:val="00E14CFF"/>
    <w:rsid w:val="00E1640C"/>
    <w:rsid w:val="00E30114"/>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D0E9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Dana.Newcomb@va.gov" TargetMode="External"/><Relationship Id="rId3" Type="http://schemas.openxmlformats.org/officeDocument/2006/relationships/customXml" Target="../customXml/item3.xml"/><Relationship Id="rId21" Type="http://schemas.openxmlformats.org/officeDocument/2006/relationships/hyperlink" Target="https://github.com/vistadataproject/RPCDefinitionToolkit/blob/master/README.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Rafael.Richards@va.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obert.Goode@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74062-E78F-4BC7-A9B1-F85C046EA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7D5F-4116-429E-B77C-3953A4DA3BA8}">
  <ds:schemaRefs>
    <ds:schemaRef ds:uri="http://schemas.microsoft.com/office/infopath/2007/PartnerControls"/>
    <ds:schemaRef ds:uri="http://purl.org/dc/terms/"/>
    <ds:schemaRef ds:uri="http://purl.org/dc/dcmitype/"/>
    <ds:schemaRef ds:uri="http://schemas.microsoft.com/office/2006/metadata/properties"/>
    <ds:schemaRef ds:uri="http://schemas.microsoft.com/office/2006/documentManagement/types"/>
    <ds:schemaRef ds:uri="9007fa0c-acb7-4e87-bf93-f3540ed10095"/>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B4F68F85-B072-405B-A375-0BE23A1D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13</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Piyush.Thesia@ablevets.com</dc:creator>
  <cp:keywords/>
  <dc:description/>
  <cp:lastModifiedBy>Nishad Shah</cp:lastModifiedBy>
  <cp:revision>2</cp:revision>
  <dcterms:created xsi:type="dcterms:W3CDTF">2019-12-03T20:22:00Z</dcterms:created>
  <dcterms:modified xsi:type="dcterms:W3CDTF">2019-12-03T20:22:00Z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