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B696C4" w14:textId="77777777" w:rsidR="006C2B6B" w:rsidRPr="00E671B3" w:rsidRDefault="006C2B6B" w:rsidP="00E671B3"/>
    <w:tbl>
      <w:tblPr>
        <w:tblW w:w="10548" w:type="dxa"/>
        <w:tblBorders>
          <w:top w:val="single" w:sz="18" w:space="0" w:color="auto"/>
          <w:left w:val="single" w:sz="18" w:space="0" w:color="auto"/>
          <w:bottom w:val="single" w:sz="18" w:space="0" w:color="auto"/>
          <w:right w:val="single" w:sz="18" w:space="0" w:color="auto"/>
          <w:insideH w:val="single" w:sz="2" w:space="0" w:color="auto"/>
          <w:insideV w:val="single" w:sz="18" w:space="0" w:color="auto"/>
        </w:tblBorders>
        <w:tblLayout w:type="fixed"/>
        <w:tblCellMar>
          <w:left w:w="115" w:type="dxa"/>
          <w:right w:w="115" w:type="dxa"/>
        </w:tblCellMar>
        <w:tblLook w:val="01E0" w:firstRow="1" w:lastRow="1" w:firstColumn="1" w:lastColumn="1" w:noHBand="0" w:noVBand="0"/>
      </w:tblPr>
      <w:tblGrid>
        <w:gridCol w:w="4176"/>
        <w:gridCol w:w="4176"/>
        <w:gridCol w:w="2196"/>
      </w:tblGrid>
      <w:tr w:rsidR="006C2B6B" w:rsidRPr="00E671B3" w14:paraId="1EB696C8" w14:textId="77777777" w:rsidTr="00A7393C">
        <w:tc>
          <w:tcPr>
            <w:tcW w:w="10548" w:type="dxa"/>
            <w:gridSpan w:val="3"/>
            <w:tcBorders>
              <w:bottom w:val="single" w:sz="2" w:space="0" w:color="auto"/>
            </w:tcBorders>
          </w:tcPr>
          <w:p w14:paraId="1EB696C5" w14:textId="77777777" w:rsidR="006C2B6B" w:rsidRPr="00E671B3" w:rsidRDefault="006C2B6B" w:rsidP="006A18DA"/>
          <w:p w14:paraId="1EB696C6" w14:textId="080CCFD1" w:rsidR="006C2B6B" w:rsidRPr="005F4420" w:rsidRDefault="00FC234F" w:rsidP="006A18DA">
            <w:pPr>
              <w:jc w:val="center"/>
              <w:rPr>
                <w:b/>
              </w:rPr>
            </w:pPr>
            <w:r w:rsidRPr="005F4420">
              <w:rPr>
                <w:b/>
              </w:rPr>
              <w:t xml:space="preserve">TECHNICAL EVALUATION FORM </w:t>
            </w:r>
            <w:r w:rsidRPr="00F4152E">
              <w:rPr>
                <w:b/>
                <w:color w:val="0070C0"/>
              </w:rPr>
              <w:t xml:space="preserve">– </w:t>
            </w:r>
            <w:r w:rsidRPr="005556BC">
              <w:rPr>
                <w:b/>
              </w:rPr>
              <w:t>FIRM FIXED PRICE</w:t>
            </w:r>
            <w:r w:rsidR="005A4A69" w:rsidRPr="005556BC">
              <w:rPr>
                <w:b/>
              </w:rPr>
              <w:t xml:space="preserve"> </w:t>
            </w:r>
          </w:p>
          <w:p w14:paraId="1EB696C7" w14:textId="77777777" w:rsidR="00AD2C67" w:rsidRPr="00E671B3" w:rsidRDefault="00AD2C67" w:rsidP="006A18DA"/>
        </w:tc>
      </w:tr>
      <w:tr w:rsidR="006C2B6B" w:rsidRPr="00E671B3" w14:paraId="1EB696CD" w14:textId="77777777" w:rsidTr="001C17B8">
        <w:trPr>
          <w:trHeight w:val="652"/>
        </w:trPr>
        <w:tc>
          <w:tcPr>
            <w:tcW w:w="4176" w:type="dxa"/>
            <w:tcBorders>
              <w:top w:val="single" w:sz="2" w:space="0" w:color="auto"/>
              <w:bottom w:val="single" w:sz="2" w:space="0" w:color="auto"/>
              <w:right w:val="single" w:sz="2" w:space="0" w:color="auto"/>
            </w:tcBorders>
          </w:tcPr>
          <w:p w14:paraId="1EB696C9" w14:textId="0B405E77" w:rsidR="006C2B6B" w:rsidRPr="00A66AD3" w:rsidRDefault="00C5753B" w:rsidP="006A18DA">
            <w:r>
              <w:t xml:space="preserve">Solicitation </w:t>
            </w:r>
            <w:r w:rsidR="00FC234F" w:rsidRPr="00A66AD3">
              <w:t>Number</w:t>
            </w:r>
          </w:p>
          <w:p w14:paraId="1EB696CA" w14:textId="3F9AF45E" w:rsidR="006C2B6B" w:rsidRPr="00A66AD3" w:rsidRDefault="00B53EA1" w:rsidP="006A18DA">
            <w:r>
              <w:t>T4NG-0739</w:t>
            </w:r>
          </w:p>
        </w:tc>
        <w:tc>
          <w:tcPr>
            <w:tcW w:w="6372" w:type="dxa"/>
            <w:gridSpan w:val="2"/>
            <w:tcBorders>
              <w:top w:val="single" w:sz="2" w:space="0" w:color="auto"/>
              <w:left w:val="single" w:sz="2" w:space="0" w:color="auto"/>
              <w:bottom w:val="single" w:sz="2" w:space="0" w:color="auto"/>
            </w:tcBorders>
          </w:tcPr>
          <w:p w14:paraId="1EB696CB" w14:textId="77777777" w:rsidR="006C2B6B" w:rsidRPr="00A66AD3" w:rsidRDefault="00FC234F" w:rsidP="006A18DA">
            <w:r w:rsidRPr="00A66AD3">
              <w:t>Task Title</w:t>
            </w:r>
          </w:p>
          <w:p w14:paraId="1EB696CC" w14:textId="00667864" w:rsidR="008B43A6" w:rsidRPr="00A66AD3" w:rsidRDefault="00B53EA1" w:rsidP="006A18DA">
            <w:r>
              <w:t xml:space="preserve">VistA </w:t>
            </w:r>
            <w:r w:rsidR="003B49C5">
              <w:t>Application Analytics</w:t>
            </w:r>
          </w:p>
        </w:tc>
      </w:tr>
      <w:tr w:rsidR="006C2B6B" w:rsidRPr="00E671B3" w14:paraId="1EB696D2" w14:textId="77777777" w:rsidTr="00A7393C">
        <w:tc>
          <w:tcPr>
            <w:tcW w:w="8352" w:type="dxa"/>
            <w:gridSpan w:val="2"/>
            <w:tcBorders>
              <w:top w:val="single" w:sz="2" w:space="0" w:color="auto"/>
              <w:bottom w:val="single" w:sz="2" w:space="0" w:color="auto"/>
              <w:right w:val="single" w:sz="2" w:space="0" w:color="auto"/>
            </w:tcBorders>
          </w:tcPr>
          <w:p w14:paraId="1EB696CE" w14:textId="77777777" w:rsidR="006C2B6B" w:rsidRPr="00A66AD3" w:rsidRDefault="006C2B6B" w:rsidP="006A18DA">
            <w:r w:rsidRPr="00A66AD3">
              <w:t xml:space="preserve">Name of </w:t>
            </w:r>
            <w:r w:rsidR="0039306E" w:rsidRPr="00A66AD3">
              <w:t>Offeror</w:t>
            </w:r>
            <w:r w:rsidR="00FC234F" w:rsidRPr="00A66AD3">
              <w:t xml:space="preserve"> </w:t>
            </w:r>
            <w:r w:rsidRPr="00A66AD3">
              <w:t xml:space="preserve"> </w:t>
            </w:r>
          </w:p>
          <w:p w14:paraId="1EB696CF" w14:textId="7B5CC1C9" w:rsidR="006C2B6B" w:rsidRPr="00A66AD3" w:rsidRDefault="0039306E" w:rsidP="006A18DA">
            <w:r w:rsidRPr="00A66AD3">
              <w:t>Offeror</w:t>
            </w:r>
            <w:r w:rsidR="00E671B3" w:rsidRPr="00A66AD3">
              <w:t xml:space="preserve"> </w:t>
            </w:r>
            <w:r w:rsidR="00581DA0">
              <w:t>B</w:t>
            </w:r>
          </w:p>
        </w:tc>
        <w:tc>
          <w:tcPr>
            <w:tcW w:w="2196" w:type="dxa"/>
            <w:tcBorders>
              <w:top w:val="single" w:sz="2" w:space="0" w:color="auto"/>
              <w:left w:val="single" w:sz="2" w:space="0" w:color="auto"/>
              <w:bottom w:val="single" w:sz="2" w:space="0" w:color="auto"/>
            </w:tcBorders>
          </w:tcPr>
          <w:p w14:paraId="1EB696D0" w14:textId="2624FEFF" w:rsidR="006C2B6B" w:rsidRPr="00A66AD3" w:rsidRDefault="006C2B6B" w:rsidP="006A18DA">
            <w:r w:rsidRPr="00A66AD3">
              <w:t xml:space="preserve">Date of </w:t>
            </w:r>
            <w:r w:rsidR="001C17B8">
              <w:t xml:space="preserve">Proposal </w:t>
            </w:r>
          </w:p>
          <w:p w14:paraId="1EB696D1" w14:textId="546A9544" w:rsidR="006E5DF4" w:rsidRPr="00A66AD3" w:rsidRDefault="00FC234F" w:rsidP="006A18DA">
            <w:r w:rsidRPr="00A66AD3">
              <w:t xml:space="preserve"> </w:t>
            </w:r>
          </w:p>
        </w:tc>
      </w:tr>
      <w:tr w:rsidR="006C2B6B" w:rsidRPr="00E671B3" w14:paraId="1EB69755" w14:textId="77777777" w:rsidTr="009F20EE">
        <w:trPr>
          <w:trHeight w:val="1084"/>
        </w:trPr>
        <w:tc>
          <w:tcPr>
            <w:tcW w:w="8352" w:type="dxa"/>
            <w:gridSpan w:val="2"/>
            <w:tcBorders>
              <w:top w:val="single" w:sz="2" w:space="0" w:color="auto"/>
              <w:bottom w:val="single" w:sz="4" w:space="0" w:color="auto"/>
              <w:right w:val="single" w:sz="2" w:space="0" w:color="auto"/>
            </w:tcBorders>
          </w:tcPr>
          <w:p w14:paraId="1EB696DD" w14:textId="77777777" w:rsidR="00013538" w:rsidRPr="009A1184" w:rsidRDefault="00EF7C8A" w:rsidP="006A18DA">
            <w:pPr>
              <w:rPr>
                <w:b/>
                <w:u w:val="single"/>
              </w:rPr>
            </w:pPr>
            <w:r>
              <w:rPr>
                <w:b/>
                <w:u w:val="single"/>
              </w:rPr>
              <w:t>1</w:t>
            </w:r>
            <w:r w:rsidR="00013538" w:rsidRPr="009A1184">
              <w:rPr>
                <w:b/>
                <w:u w:val="single"/>
              </w:rPr>
              <w:t xml:space="preserve">. Technical Evaluation Criteria: </w:t>
            </w:r>
          </w:p>
          <w:p w14:paraId="1EB696DE" w14:textId="3F91A343" w:rsidR="00013538" w:rsidRDefault="00013538" w:rsidP="006A18DA">
            <w:pPr>
              <w:rPr>
                <w:b/>
              </w:rPr>
            </w:pPr>
          </w:p>
          <w:p w14:paraId="6481FEA8" w14:textId="77777777" w:rsidR="00120648" w:rsidRDefault="00120648" w:rsidP="00120648">
            <w:r w:rsidRPr="00E671B3">
              <w:t xml:space="preserve">TECHNICAL: The evaluation of the </w:t>
            </w:r>
            <w:r>
              <w:t>Request for Proposal (RFP)</w:t>
            </w:r>
            <w:r w:rsidRPr="00E671B3">
              <w:t xml:space="preserve"> consider</w:t>
            </w:r>
            <w:r>
              <w:t>ed</w:t>
            </w:r>
            <w:r w:rsidRPr="00E671B3">
              <w:t xml:space="preserve"> the following:</w:t>
            </w:r>
          </w:p>
          <w:p w14:paraId="6A135C4E" w14:textId="77777777" w:rsidR="00120648" w:rsidRDefault="00120648" w:rsidP="00120648"/>
          <w:p w14:paraId="03C8FE0C" w14:textId="77777777" w:rsidR="00120648" w:rsidRDefault="00120648" w:rsidP="00120648">
            <w:r>
              <w:t xml:space="preserve">(1) Understanding of the Problem – </w:t>
            </w:r>
            <w:r w:rsidRPr="00120648">
              <w:t xml:space="preserve">The proposal will be evaluated to determine the extent to which it demonstrates a clear understanding of all features involved in solving the problems and meeting and/or exceeding the requirements presented in the solicitation and the extent to which uncertainties are identified and resolutions proposed. </w:t>
            </w:r>
          </w:p>
          <w:p w14:paraId="50C6C071" w14:textId="77777777" w:rsidR="00120648" w:rsidRDefault="00120648" w:rsidP="00120648"/>
          <w:p w14:paraId="1EB696E8" w14:textId="7DA1DCBF" w:rsidR="005F4420" w:rsidRPr="00120648" w:rsidRDefault="00120648" w:rsidP="006A18DA">
            <w:r>
              <w:t xml:space="preserve">(2) Feasibility of Approach – </w:t>
            </w:r>
            <w:r w:rsidRPr="00120648">
              <w:t>The proposal will be evaluated to determine the extent to which the proposed approach is workable and the end results achievable.  The proposal will be evaluated to determine the level of confidence provided the Government with respect to the Offeror's methods and approach in successfully meeting and/or exceeding the requirements in a timely manner.</w:t>
            </w:r>
          </w:p>
          <w:p w14:paraId="7B509C9C" w14:textId="77777777" w:rsidR="009F20EE" w:rsidRDefault="009F20EE" w:rsidP="006A18DA">
            <w:pPr>
              <w:rPr>
                <w:b/>
              </w:rPr>
            </w:pPr>
          </w:p>
          <w:p w14:paraId="5C665A9D" w14:textId="77777777" w:rsidR="00D77EC6" w:rsidRPr="00C471E1" w:rsidRDefault="00D77EC6" w:rsidP="006A18DA">
            <w:pPr>
              <w:rPr>
                <w:b/>
              </w:rPr>
            </w:pPr>
          </w:p>
          <w:p w14:paraId="6969977C" w14:textId="51ADF37B" w:rsidR="00581DA0" w:rsidRPr="00A51FF4" w:rsidRDefault="00EF7C8A" w:rsidP="00A51FF4">
            <w:pPr>
              <w:rPr>
                <w:i/>
                <w:color w:val="0070C0"/>
              </w:rPr>
            </w:pPr>
            <w:r w:rsidRPr="00C471E1">
              <w:rPr>
                <w:b/>
                <w:u w:val="single"/>
              </w:rPr>
              <w:t xml:space="preserve">2. </w:t>
            </w:r>
            <w:r w:rsidR="001C17B8" w:rsidRPr="00C471E1">
              <w:rPr>
                <w:b/>
                <w:u w:val="single"/>
              </w:rPr>
              <w:t>Proposal</w:t>
            </w:r>
            <w:r w:rsidR="007335C9" w:rsidRPr="00C471E1">
              <w:rPr>
                <w:b/>
                <w:u w:val="single"/>
              </w:rPr>
              <w:t xml:space="preserve"> Summary: </w:t>
            </w:r>
            <w:r w:rsidR="007D2D9F" w:rsidRPr="00C471E1">
              <w:rPr>
                <w:b/>
              </w:rPr>
              <w:t xml:space="preserve"> </w:t>
            </w:r>
          </w:p>
          <w:p w14:paraId="2C814A16" w14:textId="7AE06409" w:rsidR="0049381E" w:rsidRDefault="007F056B" w:rsidP="00190953">
            <w:pPr>
              <w:pStyle w:val="Body"/>
              <w:rPr>
                <w:rFonts w:ascii="Times New Roman" w:hAnsi="Times New Roman" w:cs="Times New Roman"/>
                <w:color w:val="000000" w:themeColor="text1"/>
                <w:sz w:val="24"/>
                <w:szCs w:val="24"/>
              </w:rPr>
            </w:pPr>
            <w:r w:rsidRPr="00C471E1">
              <w:rPr>
                <w:rFonts w:ascii="Times New Roman" w:hAnsi="Times New Roman" w:cs="Times New Roman"/>
                <w:color w:val="000000" w:themeColor="text1"/>
                <w:sz w:val="24"/>
                <w:szCs w:val="24"/>
              </w:rPr>
              <w:t xml:space="preserve">Offeror provided a technical approach for </w:t>
            </w:r>
            <w:r w:rsidR="00A51FF4">
              <w:rPr>
                <w:rFonts w:ascii="Times New Roman" w:hAnsi="Times New Roman" w:cs="Times New Roman"/>
                <w:color w:val="000000" w:themeColor="text1"/>
                <w:sz w:val="24"/>
                <w:szCs w:val="24"/>
              </w:rPr>
              <w:t xml:space="preserve">the </w:t>
            </w:r>
            <w:r w:rsidRPr="00C471E1">
              <w:rPr>
                <w:rFonts w:ascii="Times New Roman" w:hAnsi="Times New Roman" w:cs="Times New Roman"/>
                <w:color w:val="000000" w:themeColor="text1"/>
                <w:sz w:val="24"/>
                <w:szCs w:val="24"/>
              </w:rPr>
              <w:t>capture of RPC traffic from three VistA systems</w:t>
            </w:r>
            <w:r w:rsidR="00324F72">
              <w:rPr>
                <w:rFonts w:ascii="Times New Roman" w:hAnsi="Times New Roman" w:cs="Times New Roman"/>
                <w:color w:val="000000" w:themeColor="text1"/>
                <w:sz w:val="24"/>
                <w:szCs w:val="24"/>
              </w:rPr>
              <w:t xml:space="preserve"> </w:t>
            </w:r>
            <w:r w:rsidR="00C76DF9">
              <w:rPr>
                <w:rFonts w:ascii="Times New Roman" w:hAnsi="Times New Roman" w:cs="Times New Roman"/>
                <w:color w:val="000000" w:themeColor="text1"/>
                <w:sz w:val="24"/>
                <w:szCs w:val="24"/>
              </w:rPr>
              <w:t xml:space="preserve">. </w:t>
            </w:r>
            <w:r w:rsidR="00E43370">
              <w:rPr>
                <w:rFonts w:ascii="Times New Roman" w:hAnsi="Times New Roman" w:cs="Times New Roman"/>
                <w:color w:val="000000" w:themeColor="text1"/>
                <w:sz w:val="24"/>
                <w:szCs w:val="24"/>
              </w:rPr>
              <w:t xml:space="preserve">They </w:t>
            </w:r>
            <w:r w:rsidR="006F4601">
              <w:rPr>
                <w:rFonts w:ascii="Times New Roman" w:hAnsi="Times New Roman" w:cs="Times New Roman"/>
                <w:color w:val="000000" w:themeColor="text1"/>
                <w:sz w:val="24"/>
                <w:szCs w:val="24"/>
              </w:rPr>
              <w:t>will</w:t>
            </w:r>
            <w:r w:rsidR="00E43370">
              <w:rPr>
                <w:rFonts w:ascii="Times New Roman" w:hAnsi="Times New Roman" w:cs="Times New Roman"/>
                <w:color w:val="000000" w:themeColor="text1"/>
                <w:sz w:val="24"/>
                <w:szCs w:val="24"/>
              </w:rPr>
              <w:t xml:space="preserve"> capture of the </w:t>
            </w:r>
            <w:r w:rsidR="00A51FF4">
              <w:rPr>
                <w:rFonts w:ascii="Times New Roman" w:hAnsi="Times New Roman" w:cs="Times New Roman"/>
                <w:color w:val="000000" w:themeColor="text1"/>
                <w:sz w:val="24"/>
                <w:szCs w:val="24"/>
              </w:rPr>
              <w:t xml:space="preserve">RPC traffic using </w:t>
            </w:r>
            <w:r w:rsidR="00581DA0">
              <w:rPr>
                <w:rFonts w:ascii="Times New Roman" w:hAnsi="Times New Roman" w:cs="Times New Roman"/>
                <w:color w:val="000000" w:themeColor="text1"/>
                <w:sz w:val="24"/>
                <w:szCs w:val="24"/>
              </w:rPr>
              <w:t>Kinesis</w:t>
            </w:r>
            <w:r w:rsidR="002333EE">
              <w:rPr>
                <w:rFonts w:ascii="Times New Roman" w:hAnsi="Times New Roman" w:cs="Times New Roman"/>
                <w:color w:val="000000" w:themeColor="text1"/>
                <w:sz w:val="24"/>
                <w:szCs w:val="24"/>
              </w:rPr>
              <w:t xml:space="preserve">, </w:t>
            </w:r>
            <w:r w:rsidR="006F4601">
              <w:rPr>
                <w:rFonts w:ascii="Times New Roman" w:hAnsi="Times New Roman" w:cs="Times New Roman"/>
                <w:color w:val="000000" w:themeColor="text1"/>
                <w:sz w:val="24"/>
                <w:szCs w:val="24"/>
              </w:rPr>
              <w:t>store</w:t>
            </w:r>
            <w:r w:rsidR="00E43370">
              <w:rPr>
                <w:rFonts w:ascii="Times New Roman" w:hAnsi="Times New Roman" w:cs="Times New Roman"/>
                <w:color w:val="000000" w:themeColor="text1"/>
                <w:sz w:val="24"/>
                <w:szCs w:val="24"/>
              </w:rPr>
              <w:t xml:space="preserve"> the </w:t>
            </w:r>
            <w:r w:rsidR="008F1C4F">
              <w:rPr>
                <w:rFonts w:ascii="Times New Roman" w:hAnsi="Times New Roman" w:cs="Times New Roman"/>
                <w:color w:val="000000" w:themeColor="text1"/>
                <w:sz w:val="24"/>
                <w:szCs w:val="24"/>
              </w:rPr>
              <w:t xml:space="preserve">traffic </w:t>
            </w:r>
            <w:r w:rsidR="002333EE">
              <w:rPr>
                <w:rFonts w:ascii="Times New Roman" w:hAnsi="Times New Roman" w:cs="Times New Roman"/>
                <w:color w:val="000000" w:themeColor="text1"/>
                <w:sz w:val="24"/>
                <w:szCs w:val="24"/>
              </w:rPr>
              <w:t xml:space="preserve">using </w:t>
            </w:r>
            <w:r w:rsidR="00581DA0">
              <w:rPr>
                <w:rFonts w:ascii="Times New Roman" w:hAnsi="Times New Roman" w:cs="Times New Roman"/>
                <w:color w:val="000000" w:themeColor="text1"/>
                <w:sz w:val="24"/>
                <w:szCs w:val="24"/>
              </w:rPr>
              <w:t>Simple Storage Service (S3)</w:t>
            </w:r>
            <w:r w:rsidR="00E43370">
              <w:rPr>
                <w:rFonts w:ascii="Times New Roman" w:hAnsi="Times New Roman" w:cs="Times New Roman"/>
                <w:color w:val="000000" w:themeColor="text1"/>
                <w:sz w:val="24"/>
                <w:szCs w:val="24"/>
              </w:rPr>
              <w:t xml:space="preserve">, and </w:t>
            </w:r>
            <w:r w:rsidR="006F4601">
              <w:rPr>
                <w:rFonts w:ascii="Times New Roman" w:hAnsi="Times New Roman" w:cs="Times New Roman"/>
                <w:color w:val="000000" w:themeColor="text1"/>
                <w:sz w:val="24"/>
                <w:szCs w:val="24"/>
              </w:rPr>
              <w:t xml:space="preserve">provide </w:t>
            </w:r>
            <w:r w:rsidR="00E43370">
              <w:rPr>
                <w:rFonts w:ascii="Times New Roman" w:hAnsi="Times New Roman" w:cs="Times New Roman"/>
                <w:color w:val="000000" w:themeColor="text1"/>
                <w:sz w:val="24"/>
                <w:szCs w:val="24"/>
              </w:rPr>
              <w:t xml:space="preserve">monitoring of the </w:t>
            </w:r>
            <w:r w:rsidR="008F1C4F">
              <w:rPr>
                <w:rFonts w:ascii="Times New Roman" w:hAnsi="Times New Roman" w:cs="Times New Roman"/>
                <w:color w:val="000000" w:themeColor="text1"/>
                <w:sz w:val="24"/>
                <w:szCs w:val="24"/>
              </w:rPr>
              <w:t xml:space="preserve">traffic </w:t>
            </w:r>
            <w:r w:rsidR="00E43370">
              <w:rPr>
                <w:rFonts w:ascii="Times New Roman" w:hAnsi="Times New Roman" w:cs="Times New Roman"/>
                <w:color w:val="000000" w:themeColor="text1"/>
                <w:sz w:val="24"/>
                <w:szCs w:val="24"/>
              </w:rPr>
              <w:t>using</w:t>
            </w:r>
            <w:r w:rsidR="008F1C4F">
              <w:rPr>
                <w:rFonts w:ascii="Times New Roman" w:hAnsi="Times New Roman" w:cs="Times New Roman"/>
                <w:color w:val="000000" w:themeColor="text1"/>
                <w:sz w:val="24"/>
                <w:szCs w:val="24"/>
              </w:rPr>
              <w:t xml:space="preserve"> </w:t>
            </w:r>
            <w:proofErr w:type="spellStart"/>
            <w:r w:rsidR="008F1C4F">
              <w:rPr>
                <w:rFonts w:ascii="Times New Roman" w:hAnsi="Times New Roman" w:cs="Times New Roman"/>
                <w:color w:val="000000" w:themeColor="text1"/>
                <w:sz w:val="24"/>
                <w:szCs w:val="24"/>
              </w:rPr>
              <w:t>Cloudwatch</w:t>
            </w:r>
            <w:proofErr w:type="spellEnd"/>
            <w:r w:rsidR="008F1C4F">
              <w:rPr>
                <w:rFonts w:ascii="Times New Roman" w:hAnsi="Times New Roman" w:cs="Times New Roman"/>
                <w:color w:val="000000" w:themeColor="text1"/>
                <w:sz w:val="24"/>
                <w:szCs w:val="24"/>
              </w:rPr>
              <w:t>.</w:t>
            </w:r>
            <w:r w:rsidR="00355157">
              <w:rPr>
                <w:rFonts w:ascii="Times New Roman" w:hAnsi="Times New Roman" w:cs="Times New Roman"/>
                <w:color w:val="000000" w:themeColor="text1"/>
                <w:sz w:val="24"/>
                <w:szCs w:val="24"/>
              </w:rPr>
              <w:t xml:space="preserve"> </w:t>
            </w:r>
            <w:r w:rsidR="0049381E">
              <w:rPr>
                <w:rFonts w:ascii="Times New Roman" w:hAnsi="Times New Roman" w:cs="Times New Roman"/>
                <w:color w:val="000000" w:themeColor="text1"/>
                <w:sz w:val="24"/>
                <w:szCs w:val="24"/>
              </w:rPr>
              <w:t xml:space="preserve"> </w:t>
            </w:r>
            <w:r w:rsidR="0049381E" w:rsidRPr="008218D8">
              <w:rPr>
                <w:rFonts w:ascii="Times New Roman" w:hAnsi="Times New Roman" w:cs="Times New Roman"/>
                <w:sz w:val="24"/>
                <w:szCs w:val="24"/>
              </w:rPr>
              <w:t xml:space="preserve">Offeror addressed </w:t>
            </w:r>
            <w:r w:rsidR="0049381E">
              <w:rPr>
                <w:rFonts w:ascii="Times New Roman" w:hAnsi="Times New Roman" w:cs="Times New Roman"/>
                <w:sz w:val="24"/>
                <w:szCs w:val="24"/>
              </w:rPr>
              <w:t xml:space="preserve">only this </w:t>
            </w:r>
            <w:r w:rsidR="00C76DF9">
              <w:rPr>
                <w:rFonts w:ascii="Times New Roman" w:hAnsi="Times New Roman" w:cs="Times New Roman"/>
                <w:sz w:val="24"/>
                <w:szCs w:val="24"/>
              </w:rPr>
              <w:t>first</w:t>
            </w:r>
            <w:r w:rsidR="0049381E">
              <w:rPr>
                <w:rFonts w:ascii="Times New Roman" w:hAnsi="Times New Roman" w:cs="Times New Roman"/>
                <w:sz w:val="24"/>
                <w:szCs w:val="24"/>
              </w:rPr>
              <w:t xml:space="preserve"> task</w:t>
            </w:r>
            <w:r w:rsidR="0049381E" w:rsidRPr="008218D8">
              <w:rPr>
                <w:rFonts w:ascii="Times New Roman" w:hAnsi="Times New Roman" w:cs="Times New Roman"/>
                <w:sz w:val="24"/>
                <w:szCs w:val="24"/>
              </w:rPr>
              <w:t xml:space="preserve"> (5.2.1) called for in the PWS. </w:t>
            </w:r>
            <w:r w:rsidR="0049381E">
              <w:rPr>
                <w:rFonts w:ascii="Times New Roman" w:hAnsi="Times New Roman" w:cs="Times New Roman"/>
                <w:sz w:val="24"/>
                <w:szCs w:val="24"/>
              </w:rPr>
              <w:t xml:space="preserve"> </w:t>
            </w:r>
            <w:r w:rsidR="0049381E">
              <w:rPr>
                <w:rFonts w:ascii="Times New Roman" w:hAnsi="Times New Roman" w:cs="Times New Roman"/>
                <w:color w:val="000000" w:themeColor="text1"/>
                <w:sz w:val="24"/>
                <w:szCs w:val="24"/>
              </w:rPr>
              <w:t>For the</w:t>
            </w:r>
            <w:r w:rsidR="0049381E" w:rsidRPr="008218D8">
              <w:rPr>
                <w:rFonts w:ascii="Times New Roman" w:hAnsi="Times New Roman" w:cs="Times New Roman"/>
                <w:color w:val="000000" w:themeColor="text1"/>
                <w:sz w:val="24"/>
                <w:szCs w:val="24"/>
              </w:rPr>
              <w:t xml:space="preserve"> remainder </w:t>
            </w:r>
            <w:r w:rsidR="0049381E">
              <w:rPr>
                <w:rFonts w:ascii="Times New Roman" w:hAnsi="Times New Roman" w:cs="Times New Roman"/>
                <w:color w:val="000000" w:themeColor="text1"/>
                <w:sz w:val="24"/>
                <w:szCs w:val="24"/>
              </w:rPr>
              <w:t xml:space="preserve">of the tasks (5.2.2 through 5.3.2) the Offeror </w:t>
            </w:r>
            <w:r w:rsidR="0049381E" w:rsidRPr="008218D8">
              <w:rPr>
                <w:rFonts w:ascii="Times New Roman" w:hAnsi="Times New Roman" w:cs="Times New Roman"/>
                <w:color w:val="000000" w:themeColor="text1"/>
                <w:sz w:val="24"/>
                <w:szCs w:val="24"/>
              </w:rPr>
              <w:t>was nonresponsive.</w:t>
            </w:r>
          </w:p>
          <w:p w14:paraId="1842423A" w14:textId="77777777" w:rsidR="00E43370" w:rsidRPr="00C471E1" w:rsidRDefault="00E43370" w:rsidP="006A56AE">
            <w:pPr>
              <w:rPr>
                <w:iCs/>
                <w:color w:val="000000" w:themeColor="text1"/>
              </w:rPr>
            </w:pPr>
          </w:p>
          <w:p w14:paraId="6A8A29F3" w14:textId="213CA104" w:rsidR="00B16DB6" w:rsidRPr="00C471E1" w:rsidRDefault="00B16DB6" w:rsidP="006A18DA">
            <w:pPr>
              <w:rPr>
                <w:iCs/>
                <w:color w:val="000000" w:themeColor="text1"/>
              </w:rPr>
            </w:pPr>
            <w:r w:rsidRPr="00C471E1">
              <w:rPr>
                <w:iCs/>
                <w:color w:val="000000" w:themeColor="text1"/>
              </w:rPr>
              <w:t xml:space="preserve">Offeror A has proposed to team with </w:t>
            </w:r>
            <w:r w:rsidR="007F056B" w:rsidRPr="00C471E1">
              <w:rPr>
                <w:iCs/>
                <w:color w:val="000000" w:themeColor="text1"/>
              </w:rPr>
              <w:t>no</w:t>
            </w:r>
            <w:r w:rsidRPr="00C471E1">
              <w:rPr>
                <w:iCs/>
                <w:color w:val="000000" w:themeColor="text1"/>
              </w:rPr>
              <w:t xml:space="preserve"> subcontractor. </w:t>
            </w:r>
          </w:p>
          <w:p w14:paraId="6F93EDF3" w14:textId="191C6583" w:rsidR="00A76CCE" w:rsidRPr="00C471E1" w:rsidRDefault="00A76CCE" w:rsidP="006A18DA">
            <w:pPr>
              <w:rPr>
                <w:i/>
                <w:color w:val="000000" w:themeColor="text1"/>
              </w:rPr>
            </w:pPr>
          </w:p>
          <w:p w14:paraId="32D5D9F8" w14:textId="0B4A33FB" w:rsidR="00324F72" w:rsidRPr="00D77EC6" w:rsidRDefault="00A76CCE" w:rsidP="006A18DA">
            <w:pPr>
              <w:rPr>
                <w:color w:val="000000" w:themeColor="text1"/>
              </w:rPr>
            </w:pPr>
            <w:r w:rsidRPr="00C471E1">
              <w:rPr>
                <w:color w:val="000000" w:themeColor="text1"/>
              </w:rPr>
              <w:t xml:space="preserve">After review of the entire technical volume, it was determined that the Offeror’s approach contained </w:t>
            </w:r>
            <w:r w:rsidR="007F056B" w:rsidRPr="00C471E1">
              <w:rPr>
                <w:i/>
                <w:iCs/>
                <w:color w:val="000000" w:themeColor="text1"/>
              </w:rPr>
              <w:t>Deficiencies</w:t>
            </w:r>
            <w:r w:rsidR="00561478" w:rsidRPr="00C471E1">
              <w:rPr>
                <w:color w:val="000000" w:themeColor="text1"/>
              </w:rPr>
              <w:t>. </w:t>
            </w:r>
          </w:p>
          <w:p w14:paraId="21B5DE91" w14:textId="77777777" w:rsidR="00D77EC6" w:rsidRDefault="00D77EC6" w:rsidP="006A18DA"/>
          <w:p w14:paraId="3A699274" w14:textId="77777777" w:rsidR="00B64D09" w:rsidRDefault="00B64D09" w:rsidP="006A18DA"/>
          <w:p w14:paraId="2F3B6D3C" w14:textId="38B8D14B" w:rsidR="00B64D09" w:rsidRDefault="00E43370" w:rsidP="00E43370">
            <w:pPr>
              <w:rPr>
                <w:bCs/>
              </w:rPr>
            </w:pPr>
            <w:r>
              <w:rPr>
                <w:b/>
                <w:u w:val="single"/>
              </w:rPr>
              <w:t xml:space="preserve">3. </w:t>
            </w:r>
            <w:r w:rsidRPr="00E671B3">
              <w:rPr>
                <w:b/>
                <w:u w:val="single"/>
              </w:rPr>
              <w:t>Summary of Significant Strengths</w:t>
            </w:r>
            <w:r w:rsidRPr="00E671B3">
              <w:rPr>
                <w:b/>
              </w:rPr>
              <w:t>:</w:t>
            </w:r>
            <w:r>
              <w:rPr>
                <w:b/>
              </w:rPr>
              <w:t xml:space="preserve"> </w:t>
            </w:r>
            <w:r w:rsidRPr="008E3BBD">
              <w:rPr>
                <w:bCs/>
              </w:rPr>
              <w:t>None identified</w:t>
            </w:r>
          </w:p>
          <w:p w14:paraId="6CE37CDB" w14:textId="77777777" w:rsidR="00D77EC6" w:rsidRPr="008E3BBD" w:rsidRDefault="00D77EC6" w:rsidP="00E43370">
            <w:pPr>
              <w:rPr>
                <w:bCs/>
              </w:rPr>
            </w:pPr>
          </w:p>
          <w:p w14:paraId="28CABF0E" w14:textId="3E57CA6C" w:rsidR="00E43370" w:rsidRPr="00DB0B68" w:rsidRDefault="00E43370" w:rsidP="00E43370">
            <w:pPr>
              <w:rPr>
                <w:b/>
              </w:rPr>
            </w:pPr>
            <w:r>
              <w:rPr>
                <w:b/>
                <w:u w:val="single"/>
              </w:rPr>
              <w:t xml:space="preserve">4. </w:t>
            </w:r>
            <w:r w:rsidRPr="00E671B3">
              <w:rPr>
                <w:b/>
                <w:u w:val="single"/>
              </w:rPr>
              <w:t>Summary of Strengths</w:t>
            </w:r>
            <w:r w:rsidRPr="00E671B3">
              <w:rPr>
                <w:b/>
              </w:rPr>
              <w:t>:</w:t>
            </w:r>
            <w:r>
              <w:rPr>
                <w:b/>
              </w:rPr>
              <w:t xml:space="preserve"> </w:t>
            </w:r>
            <w:r w:rsidRPr="008E3BBD">
              <w:rPr>
                <w:bCs/>
              </w:rPr>
              <w:t>None identified</w:t>
            </w:r>
          </w:p>
          <w:p w14:paraId="511A0ED0" w14:textId="77777777" w:rsidR="00B64D09" w:rsidRPr="008E3BBD" w:rsidRDefault="00B64D09" w:rsidP="00E43370">
            <w:pPr>
              <w:rPr>
                <w:i/>
              </w:rPr>
            </w:pPr>
          </w:p>
          <w:p w14:paraId="5B228048" w14:textId="48FD75B7" w:rsidR="00E43370" w:rsidRDefault="00E43370" w:rsidP="00E43370">
            <w:pPr>
              <w:rPr>
                <w:b/>
              </w:rPr>
            </w:pPr>
            <w:r>
              <w:rPr>
                <w:b/>
                <w:u w:val="single"/>
              </w:rPr>
              <w:t xml:space="preserve">5. </w:t>
            </w:r>
            <w:r w:rsidRPr="00E671B3">
              <w:rPr>
                <w:b/>
                <w:u w:val="single"/>
              </w:rPr>
              <w:t xml:space="preserve">Summary of Significant </w:t>
            </w:r>
            <w:r>
              <w:rPr>
                <w:b/>
                <w:u w:val="single"/>
              </w:rPr>
              <w:t>Weaknesses</w:t>
            </w:r>
            <w:r w:rsidRPr="00E671B3">
              <w:rPr>
                <w:b/>
              </w:rPr>
              <w:t>:</w:t>
            </w:r>
            <w:r>
              <w:rPr>
                <w:b/>
              </w:rPr>
              <w:t xml:space="preserve"> </w:t>
            </w:r>
            <w:r w:rsidR="00324F72">
              <w:rPr>
                <w:bCs/>
              </w:rPr>
              <w:t>See Deficiencies</w:t>
            </w:r>
            <w:r>
              <w:rPr>
                <w:b/>
              </w:rPr>
              <w:t xml:space="preserve"> </w:t>
            </w:r>
          </w:p>
          <w:p w14:paraId="5FAE6410" w14:textId="77777777" w:rsidR="00B64D09" w:rsidRDefault="00B64D09" w:rsidP="00E43370">
            <w:pPr>
              <w:rPr>
                <w:b/>
              </w:rPr>
            </w:pPr>
          </w:p>
          <w:p w14:paraId="55A0360D" w14:textId="3AF64D91" w:rsidR="00E43370" w:rsidRPr="008E3BBD" w:rsidRDefault="00E43370" w:rsidP="00E43370">
            <w:pPr>
              <w:rPr>
                <w:b/>
              </w:rPr>
            </w:pPr>
            <w:r>
              <w:rPr>
                <w:b/>
                <w:u w:val="single"/>
              </w:rPr>
              <w:t xml:space="preserve">6. </w:t>
            </w:r>
            <w:r w:rsidRPr="00E671B3">
              <w:rPr>
                <w:b/>
                <w:u w:val="single"/>
              </w:rPr>
              <w:t xml:space="preserve">Summary of </w:t>
            </w:r>
            <w:r>
              <w:rPr>
                <w:b/>
                <w:u w:val="single"/>
              </w:rPr>
              <w:t>Weaknesses</w:t>
            </w:r>
            <w:r w:rsidRPr="00E671B3">
              <w:rPr>
                <w:b/>
              </w:rPr>
              <w:t>:</w:t>
            </w:r>
            <w:r>
              <w:rPr>
                <w:b/>
              </w:rPr>
              <w:t xml:space="preserve"> </w:t>
            </w:r>
            <w:r w:rsidR="00324F72">
              <w:rPr>
                <w:bCs/>
              </w:rPr>
              <w:t>See Deficiencies</w:t>
            </w:r>
          </w:p>
          <w:p w14:paraId="03B474AB" w14:textId="77777777" w:rsidR="00E43370" w:rsidRDefault="00E43370" w:rsidP="006A18DA">
            <w:pPr>
              <w:rPr>
                <w:b/>
                <w:color w:val="000000" w:themeColor="text1"/>
              </w:rPr>
            </w:pPr>
          </w:p>
          <w:p w14:paraId="186ED714" w14:textId="77777777" w:rsidR="00324F72" w:rsidRPr="00C471E1" w:rsidRDefault="00324F72" w:rsidP="006A18DA">
            <w:pPr>
              <w:rPr>
                <w:b/>
                <w:color w:val="000000" w:themeColor="text1"/>
              </w:rPr>
            </w:pPr>
          </w:p>
          <w:p w14:paraId="1EB69722" w14:textId="2C612295" w:rsidR="00D863B7" w:rsidRPr="00C471E1" w:rsidRDefault="00330C44" w:rsidP="00841AF6">
            <w:pPr>
              <w:rPr>
                <w:b/>
                <w:color w:val="000000" w:themeColor="text1"/>
                <w:u w:val="single"/>
              </w:rPr>
            </w:pPr>
            <w:r w:rsidRPr="00C471E1">
              <w:rPr>
                <w:b/>
                <w:color w:val="000000" w:themeColor="text1"/>
                <w:u w:val="single"/>
              </w:rPr>
              <w:lastRenderedPageBreak/>
              <w:t>7</w:t>
            </w:r>
            <w:r w:rsidR="0093466C" w:rsidRPr="00C471E1">
              <w:rPr>
                <w:b/>
                <w:color w:val="000000" w:themeColor="text1"/>
                <w:u w:val="single"/>
              </w:rPr>
              <w:t xml:space="preserve">. </w:t>
            </w:r>
            <w:r w:rsidR="00DA4D75" w:rsidRPr="00C471E1">
              <w:rPr>
                <w:b/>
                <w:color w:val="000000" w:themeColor="text1"/>
                <w:u w:val="single"/>
              </w:rPr>
              <w:t>Summary of Deficiencies</w:t>
            </w:r>
            <w:r w:rsidR="006F0AB8" w:rsidRPr="00C471E1">
              <w:rPr>
                <w:color w:val="000000" w:themeColor="text1"/>
              </w:rPr>
              <w:t>:</w:t>
            </w:r>
            <w:r w:rsidR="0093466C" w:rsidRPr="00C471E1">
              <w:rPr>
                <w:color w:val="000000" w:themeColor="text1"/>
              </w:rPr>
              <w:t xml:space="preserve"> </w:t>
            </w:r>
          </w:p>
          <w:p w14:paraId="43371A40" w14:textId="77777777" w:rsidR="006271F2" w:rsidRDefault="006271F2" w:rsidP="00D77EC6">
            <w:pPr>
              <w:rPr>
                <w:color w:val="000000" w:themeColor="text1"/>
              </w:rPr>
            </w:pPr>
          </w:p>
          <w:p w14:paraId="4B47D17D" w14:textId="77777777" w:rsidR="00E503EF" w:rsidRPr="00E503EF" w:rsidRDefault="00E503EF" w:rsidP="00E503EF">
            <w:pPr>
              <w:rPr>
                <w:color w:val="000000" w:themeColor="text1"/>
              </w:rPr>
            </w:pPr>
            <w:r w:rsidRPr="00E503EF">
              <w:rPr>
                <w:color w:val="000000" w:themeColor="text1"/>
              </w:rPr>
              <w:t>Overview: The following details the non-responsiveness of the offeror's response for three of the four base year TEPs and for the two optional year TEPs required by the Vista Application Analytics PWS. The overall impression of their response is that the offeror believes that broad claims of capability to analyze in general should suffice and that the specific requirements of the PWS to analyze RPC traffic need not be addressed.</w:t>
            </w:r>
          </w:p>
          <w:p w14:paraId="38D9E8DF" w14:textId="77777777" w:rsidR="006271F2" w:rsidRPr="006271F2" w:rsidRDefault="006271F2" w:rsidP="006271F2">
            <w:pPr>
              <w:rPr>
                <w:color w:val="000000" w:themeColor="text1"/>
              </w:rPr>
            </w:pPr>
          </w:p>
          <w:p w14:paraId="1AC77480" w14:textId="77777777" w:rsidR="006271F2" w:rsidRPr="006271F2" w:rsidRDefault="006271F2" w:rsidP="006271F2">
            <w:pPr>
              <w:rPr>
                <w:color w:val="000000" w:themeColor="text1"/>
              </w:rPr>
            </w:pPr>
            <w:r w:rsidRPr="006271F2">
              <w:rPr>
                <w:b/>
                <w:bCs/>
                <w:color w:val="000000" w:themeColor="text1"/>
              </w:rPr>
              <w:t>Deficiency #1</w:t>
            </w:r>
            <w:r w:rsidRPr="006271F2">
              <w:rPr>
                <w:color w:val="000000" w:themeColor="text1"/>
              </w:rPr>
              <w:t xml:space="preserve"> - TEP 5.2.2 requires very specific analysis (requirements a-h) of the RPC traffic of three cloud-resident VistAs captured during task 5.2.1. Offeror doesn't address any of these very specific requirements beyond re-stating them (page 9) and committing to address them. Instead, they make a broad promise to use some of the "cloud native tools for performing advanced analytics" and a “best-in-class machine learning or descriptive analytics engine”, state their willingness to "provide an analysis of alternatives," and list their "deep experience with these advanced analytics tools" and developing "visualization." Finally, they </w:t>
            </w:r>
            <w:proofErr w:type="gramStart"/>
            <w:r w:rsidRPr="006271F2">
              <w:rPr>
                <w:color w:val="000000" w:themeColor="text1"/>
              </w:rPr>
              <w:t>say</w:t>
            </w:r>
            <w:proofErr w:type="gramEnd"/>
            <w:r w:rsidRPr="006271F2">
              <w:rPr>
                <w:color w:val="000000" w:themeColor="text1"/>
              </w:rPr>
              <w:t xml:space="preserve"> "our Technical Writer will create four separate reports, supported by our Data Scientists and VistA SMEs" and follow this with a claim that these reports will address the requirements, which they go on to re-state. These claims of broad expertise in analysis in general, of a willingness to use and evaluate common tools and an ability to write reports could be re-stated without change in response to any call for cloud-based analysis. They in no way address the specific requirements of this TEP and display a lack of knowledge about the nature of RPCs in general and the specific RPCs in scope to address the analysis required. This catalog of generic capabilities and unsupported commitments is evaluated “non-responsive” according to the </w:t>
            </w:r>
            <w:proofErr w:type="gramStart"/>
            <w:r w:rsidRPr="006271F2">
              <w:rPr>
                <w:color w:val="000000" w:themeColor="text1"/>
              </w:rPr>
              <w:t>governments</w:t>
            </w:r>
            <w:proofErr w:type="gramEnd"/>
            <w:r w:rsidRPr="006271F2">
              <w:rPr>
                <w:color w:val="000000" w:themeColor="text1"/>
              </w:rPr>
              <w:t xml:space="preserve"> evaluation criteria.</w:t>
            </w:r>
          </w:p>
          <w:p w14:paraId="70CD22E5" w14:textId="77777777" w:rsidR="006271F2" w:rsidRPr="006271F2" w:rsidRDefault="006271F2" w:rsidP="006271F2">
            <w:pPr>
              <w:rPr>
                <w:color w:val="000000" w:themeColor="text1"/>
              </w:rPr>
            </w:pPr>
          </w:p>
          <w:p w14:paraId="08C0A793" w14:textId="77777777" w:rsidR="006271F2" w:rsidRPr="006271F2" w:rsidRDefault="006271F2" w:rsidP="006271F2">
            <w:pPr>
              <w:rPr>
                <w:color w:val="000000" w:themeColor="text1"/>
              </w:rPr>
            </w:pPr>
            <w:r w:rsidRPr="006271F2">
              <w:rPr>
                <w:b/>
                <w:bCs/>
                <w:color w:val="000000" w:themeColor="text1"/>
              </w:rPr>
              <w:t>Deficiency #2</w:t>
            </w:r>
            <w:r w:rsidRPr="006271F2">
              <w:rPr>
                <w:color w:val="000000" w:themeColor="text1"/>
              </w:rPr>
              <w:t xml:space="preserve"> - TEP 5.2.3 requires very specific analysis (requirements a-m) of the RPC traffic of each of the VA's three main point-of-care clients. The required analysis must measure the traffic in specific ways, categorize all RPCs seen and relate that traffic to user screens to enable recommendations for improvement called for in 5.2.4. Offeror doesn't address any of these very specific requirements beyond re-stating them (2.1.3) and committing to addressing them using a "Technical Writer, in concert with our Data Scientists, VistA SMEs, and Delphi/CPRS SME." They also promise to "work with clinically active VA informaticists." Such generic commitments fail to even outline the specific knowledge and steps required to provide the required, per-client RPC traffic analysis. The offeror fails to demonstrate their knowledge of RPCs in general or how they would match those RPCs to the operation of clients by clinicians, called for in the requirements. Their generic commitments and claims of generally applicable expertise are evaluated “non-responsive” according to the </w:t>
            </w:r>
            <w:proofErr w:type="gramStart"/>
            <w:r w:rsidRPr="006271F2">
              <w:rPr>
                <w:color w:val="000000" w:themeColor="text1"/>
              </w:rPr>
              <w:t>governments</w:t>
            </w:r>
            <w:proofErr w:type="gramEnd"/>
            <w:r w:rsidRPr="006271F2">
              <w:rPr>
                <w:color w:val="000000" w:themeColor="text1"/>
              </w:rPr>
              <w:t xml:space="preserve"> evaluation criteria.</w:t>
            </w:r>
          </w:p>
          <w:p w14:paraId="61E979F5" w14:textId="77777777" w:rsidR="006271F2" w:rsidRPr="006271F2" w:rsidRDefault="006271F2" w:rsidP="006271F2">
            <w:pPr>
              <w:rPr>
                <w:color w:val="000000" w:themeColor="text1"/>
              </w:rPr>
            </w:pPr>
          </w:p>
          <w:p w14:paraId="54F897C0" w14:textId="16C99E2D" w:rsidR="006271F2" w:rsidRPr="006271F2" w:rsidRDefault="006271F2" w:rsidP="006271F2">
            <w:pPr>
              <w:rPr>
                <w:color w:val="000000" w:themeColor="text1"/>
              </w:rPr>
            </w:pPr>
            <w:r w:rsidRPr="006271F2">
              <w:rPr>
                <w:b/>
                <w:bCs/>
                <w:color w:val="000000" w:themeColor="text1"/>
              </w:rPr>
              <w:t>Deficiency #3</w:t>
            </w:r>
            <w:r w:rsidRPr="006271F2">
              <w:rPr>
                <w:color w:val="000000" w:themeColor="text1"/>
              </w:rPr>
              <w:t xml:space="preserve"> - </w:t>
            </w:r>
            <w:r w:rsidR="00C20620" w:rsidRPr="00C20620">
              <w:rPr>
                <w:color w:val="000000" w:themeColor="text1"/>
              </w:rPr>
              <w:t xml:space="preserve">TEP 5.2.4 calls for recommendations for improvement of client operation based solely on the results of the analysis for 5.2.3. Offeror states that their "VistA SMEs and Delphi/CRPS SME will leverage the three VistA Client Use Analysis Reports produced in PWS 5.2.3, using the standard template and KPIs."   Offeror also proposes (figure 3, 2.1.4) the use of "other domain specific considerations" and "industry standard factors" drawn from unspecified sources of </w:t>
            </w:r>
            <w:r w:rsidR="00C20620" w:rsidRPr="00C20620">
              <w:rPr>
                <w:color w:val="000000" w:themeColor="text1"/>
              </w:rPr>
              <w:lastRenderedPageBreak/>
              <w:t>information. As the offeror’s reply to TEP 5.2.3 fails to specify how they would perform the analysis required to produce "Client Use Analysis Reports" or even if they understood what was required, they cannot be expected to deliver recommendations "based solely" on those reports. Introducing analysis of generic “industry standard factors” based on unknown and unspecified sources of information is no substitute for doing the specific analysis required. As a result they cannot be expected to deliver these recommendations in the required manner and this reply is deemed “un-responsive.”</w:t>
            </w:r>
          </w:p>
          <w:p w14:paraId="5FE2823B" w14:textId="77777777" w:rsidR="006271F2" w:rsidRPr="006271F2" w:rsidRDefault="006271F2" w:rsidP="006271F2">
            <w:pPr>
              <w:rPr>
                <w:color w:val="000000" w:themeColor="text1"/>
              </w:rPr>
            </w:pPr>
          </w:p>
          <w:p w14:paraId="56838D4B" w14:textId="77777777" w:rsidR="00C20620" w:rsidRDefault="006271F2" w:rsidP="006271F2">
            <w:pPr>
              <w:rPr>
                <w:color w:val="000000" w:themeColor="text1"/>
              </w:rPr>
            </w:pPr>
            <w:r w:rsidRPr="006271F2">
              <w:rPr>
                <w:b/>
                <w:bCs/>
                <w:color w:val="000000" w:themeColor="text1"/>
              </w:rPr>
              <w:t>Deficiency #4</w:t>
            </w:r>
            <w:r w:rsidRPr="006271F2">
              <w:rPr>
                <w:color w:val="000000" w:themeColor="text1"/>
              </w:rPr>
              <w:t xml:space="preserve"> - </w:t>
            </w:r>
            <w:r w:rsidR="00C20620" w:rsidRPr="00C20620">
              <w:rPr>
                <w:color w:val="000000" w:themeColor="text1"/>
              </w:rPr>
              <w:t>TEP 5.3.1 calls for analysis of the VistA of a site already migrated to Cerner using the same approach taken during the base year, where the traffic capture is followed by in-depth analysis. Offeror commits to re-using the capture mechanism and analysis they presume to exist from the base year. Specifically for analysis, they claim (2.1.5) "as established during the Base Year, we will have all the metrics set up for collection and analysis of the data captured." Given that this TEP calls for more of the type of analysis performed in the base year, such commitments would only be credible had Offeror’s answers to the base year's basic analysis TEPs (5.2.2, 5.2.3) been responsive. Offeror also claims that work they performed for Oracle Go-lives and cut-overs "will help our team review the data traffic and analysis and know where to look for changes to that traffic." Such expertise is helpful only if the offeror has demonstrated an ability to first perform basic RPC traffic analysis. However, the offeror failed to state with any specificity how they would perform such analysis either in this reply or in the replies to related TEPs from the base year. This absence of detail and the lack of established expertise from responses to base year TEPs make offeror's reply "un-responsive."</w:t>
            </w:r>
          </w:p>
          <w:p w14:paraId="35B494D6" w14:textId="08022CF6" w:rsidR="00B64D09" w:rsidRPr="006271F2" w:rsidRDefault="006271F2" w:rsidP="006271F2">
            <w:pPr>
              <w:rPr>
                <w:color w:val="000000" w:themeColor="text1"/>
              </w:rPr>
            </w:pPr>
            <w:r w:rsidRPr="006271F2">
              <w:rPr>
                <w:color w:val="000000" w:themeColor="text1"/>
              </w:rPr>
              <w:br/>
            </w:r>
            <w:r w:rsidRPr="006271F2">
              <w:rPr>
                <w:b/>
                <w:bCs/>
                <w:color w:val="000000" w:themeColor="text1"/>
              </w:rPr>
              <w:t xml:space="preserve">Deficiency #5 </w:t>
            </w:r>
            <w:r w:rsidRPr="006271F2">
              <w:rPr>
                <w:color w:val="000000" w:themeColor="text1"/>
              </w:rPr>
              <w:t>- TEP 5.3.2 calls for specific analysis of the way VistA and its clients provide for community/private-sector care. To address this TEP, Offeror commits to (2.1.6 p12) "apply this same machine learning or descriptive analytics solution based on the previous determination of the VA stakeholders. We will leverage all lessons learned from the base year around collecting, storing, and analyzing this data." This commitment repeats a broad promise made earlier to apply unspecified "machine learning" and relies on having established an ability to perform in-depth RPC traffic analysis in earlier answers. The offeror goes on to state "team brings extensive experience supporting both business and technical aspects of the VA Community Care Program" and that they "will leverage subject matter experts from that work to help inform our recommendations." Such expertise is relevant only if the offeror has already demonstrated an ability to perform basic RPC traffic analysis. The complete absence of specifics about how they would perform such traffic analysis either in this reply or in the replies to related TEPs from the base year makes this an "un-responsive" reply.</w:t>
            </w:r>
          </w:p>
          <w:p w14:paraId="20648730" w14:textId="77777777" w:rsidR="006271F2" w:rsidRDefault="006271F2" w:rsidP="006A18DA">
            <w:pPr>
              <w:rPr>
                <w:color w:val="000000" w:themeColor="text1"/>
                <w:u w:val="single"/>
              </w:rPr>
            </w:pPr>
          </w:p>
          <w:p w14:paraId="04222CF0" w14:textId="77777777" w:rsidR="00FF0023" w:rsidRDefault="00FF0023" w:rsidP="006A18DA">
            <w:pPr>
              <w:rPr>
                <w:color w:val="000000" w:themeColor="text1"/>
                <w:u w:val="single"/>
              </w:rPr>
            </w:pPr>
          </w:p>
          <w:p w14:paraId="1EB6972A" w14:textId="5E9502AF" w:rsidR="00D863B7" w:rsidRDefault="00330C44" w:rsidP="006A18DA">
            <w:pPr>
              <w:rPr>
                <w:b/>
                <w:color w:val="000000" w:themeColor="text1"/>
                <w:u w:val="single"/>
              </w:rPr>
            </w:pPr>
            <w:r w:rsidRPr="00C471E1">
              <w:rPr>
                <w:b/>
                <w:color w:val="000000" w:themeColor="text1"/>
                <w:u w:val="single"/>
              </w:rPr>
              <w:t>8</w:t>
            </w:r>
            <w:r w:rsidR="00D253B1" w:rsidRPr="00C471E1">
              <w:rPr>
                <w:b/>
                <w:color w:val="000000" w:themeColor="text1"/>
                <w:u w:val="single"/>
              </w:rPr>
              <w:t xml:space="preserve">. </w:t>
            </w:r>
            <w:r w:rsidR="00F62ECF" w:rsidRPr="00C471E1">
              <w:rPr>
                <w:b/>
                <w:color w:val="000000" w:themeColor="text1"/>
                <w:u w:val="single"/>
              </w:rPr>
              <w:t>Evaluation Criteria</w:t>
            </w:r>
            <w:r w:rsidR="00D253B1" w:rsidRPr="00C471E1">
              <w:rPr>
                <w:b/>
                <w:color w:val="000000" w:themeColor="text1"/>
                <w:u w:val="single"/>
              </w:rPr>
              <w:t xml:space="preserve">: </w:t>
            </w:r>
          </w:p>
          <w:p w14:paraId="319AA659" w14:textId="77777777" w:rsidR="00324F72" w:rsidRPr="00C471E1" w:rsidRDefault="00324F72" w:rsidP="006A18DA">
            <w:pPr>
              <w:rPr>
                <w:b/>
                <w:color w:val="000000" w:themeColor="text1"/>
                <w:u w:val="single"/>
              </w:rPr>
            </w:pPr>
          </w:p>
          <w:p w14:paraId="21A86797" w14:textId="77777777" w:rsidR="00B64D09" w:rsidRPr="00C471E1" w:rsidRDefault="00B64D09" w:rsidP="00B64D09">
            <w:pPr>
              <w:rPr>
                <w:b/>
                <w:color w:val="000000" w:themeColor="text1"/>
                <w:u w:val="single"/>
              </w:rPr>
            </w:pPr>
            <w:r w:rsidRPr="00C471E1">
              <w:rPr>
                <w:b/>
                <w:color w:val="000000" w:themeColor="text1"/>
                <w:u w:val="single"/>
              </w:rPr>
              <w:t>a. Understanding of the Problem</w:t>
            </w:r>
          </w:p>
          <w:p w14:paraId="549AE28C" w14:textId="77777777" w:rsidR="00B64D09" w:rsidRPr="00C471E1" w:rsidRDefault="00B64D09" w:rsidP="00B64D09">
            <w:pPr>
              <w:rPr>
                <w:color w:val="000000" w:themeColor="text1"/>
              </w:rPr>
            </w:pPr>
            <w:r w:rsidRPr="00E95C1C">
              <w:rPr>
                <w:color w:val="000000" w:themeColor="text1"/>
              </w:rPr>
              <w:t xml:space="preserve">As evidenced by the </w:t>
            </w:r>
            <w:r>
              <w:rPr>
                <w:color w:val="000000" w:themeColor="text1"/>
              </w:rPr>
              <w:t>deficiencies</w:t>
            </w:r>
            <w:r w:rsidRPr="00E95C1C">
              <w:rPr>
                <w:color w:val="000000" w:themeColor="text1"/>
              </w:rPr>
              <w:t xml:space="preserve"> above, overall the Offeror demonstrates </w:t>
            </w:r>
            <w:r>
              <w:rPr>
                <w:color w:val="000000" w:themeColor="text1"/>
              </w:rPr>
              <w:t>a lack of understanding of the problems.</w:t>
            </w:r>
          </w:p>
          <w:p w14:paraId="6147F039" w14:textId="77777777" w:rsidR="00B64D09" w:rsidRPr="00C471E1" w:rsidRDefault="00B64D09" w:rsidP="00B64D09">
            <w:pPr>
              <w:rPr>
                <w:color w:val="000000" w:themeColor="text1"/>
              </w:rPr>
            </w:pPr>
          </w:p>
          <w:p w14:paraId="1FD79F90" w14:textId="77777777" w:rsidR="00B64D09" w:rsidRPr="00C471E1" w:rsidRDefault="00B64D09" w:rsidP="00B64D09">
            <w:pPr>
              <w:rPr>
                <w:b/>
                <w:color w:val="000000" w:themeColor="text1"/>
                <w:u w:val="single"/>
              </w:rPr>
            </w:pPr>
            <w:r w:rsidRPr="00C471E1">
              <w:rPr>
                <w:b/>
                <w:color w:val="000000" w:themeColor="text1"/>
                <w:u w:val="single"/>
              </w:rPr>
              <w:lastRenderedPageBreak/>
              <w:t>b. Feasibility of Approach</w:t>
            </w:r>
          </w:p>
          <w:p w14:paraId="66E25350" w14:textId="77777777" w:rsidR="0083539F" w:rsidRPr="00C471E1" w:rsidRDefault="0083539F" w:rsidP="0083539F">
            <w:pPr>
              <w:rPr>
                <w:color w:val="000000" w:themeColor="text1"/>
              </w:rPr>
            </w:pPr>
            <w:r w:rsidRPr="00E95C1C">
              <w:rPr>
                <w:color w:val="000000" w:themeColor="text1"/>
              </w:rPr>
              <w:t xml:space="preserve">As evidenced by the </w:t>
            </w:r>
            <w:r>
              <w:rPr>
                <w:color w:val="000000" w:themeColor="text1"/>
              </w:rPr>
              <w:t>deficiencies</w:t>
            </w:r>
            <w:r w:rsidRPr="00E95C1C">
              <w:rPr>
                <w:color w:val="000000" w:themeColor="text1"/>
              </w:rPr>
              <w:t xml:space="preserve"> above, overall the Offeror demonstrates an approach that cannot be expected to meet the requirements</w:t>
            </w:r>
            <w:r>
              <w:rPr>
                <w:color w:val="000000" w:themeColor="text1"/>
              </w:rPr>
              <w:t>.</w:t>
            </w:r>
          </w:p>
          <w:p w14:paraId="4803C521" w14:textId="77777777" w:rsidR="00B64D09" w:rsidRDefault="00B64D09" w:rsidP="006A18DA">
            <w:pPr>
              <w:rPr>
                <w:b/>
                <w:color w:val="000000" w:themeColor="text1"/>
                <w:u w:val="single"/>
              </w:rPr>
            </w:pPr>
          </w:p>
          <w:p w14:paraId="7C4C3BE0" w14:textId="77777777" w:rsidR="00CD6D54" w:rsidRPr="00C471E1" w:rsidRDefault="00CD6D54" w:rsidP="006A18DA">
            <w:pPr>
              <w:rPr>
                <w:b/>
                <w:color w:val="000000" w:themeColor="text1"/>
                <w:u w:val="single"/>
              </w:rPr>
            </w:pPr>
          </w:p>
          <w:p w14:paraId="1EB6973F" w14:textId="04E24C0D" w:rsidR="009F20EE" w:rsidRPr="00B64D09" w:rsidRDefault="00330C44" w:rsidP="00324F72">
            <w:r w:rsidRPr="00DB0B68">
              <w:rPr>
                <w:b/>
                <w:color w:val="000000" w:themeColor="text1"/>
              </w:rPr>
              <w:t>9</w:t>
            </w:r>
            <w:r w:rsidR="00F8248B" w:rsidRPr="00DB0B68">
              <w:rPr>
                <w:b/>
                <w:color w:val="000000" w:themeColor="text1"/>
              </w:rPr>
              <w:t xml:space="preserve">. Rating:  </w:t>
            </w:r>
            <w:r w:rsidR="00DB0B68" w:rsidRPr="00DB0B68">
              <w:rPr>
                <w:b/>
              </w:rPr>
              <w:t>Unacceptable</w:t>
            </w:r>
            <w:r w:rsidR="00DB0B68" w:rsidRPr="00DB0B68">
              <w:t xml:space="preserve"> - A </w:t>
            </w:r>
            <w:r w:rsidR="00DB0B68">
              <w:t>proposal</w:t>
            </w:r>
            <w:r w:rsidR="00DB0B68" w:rsidRPr="00DB0B68">
              <w:t xml:space="preserve"> that contains a major error(s), omission(s) or deficiency(</w:t>
            </w:r>
            <w:proofErr w:type="spellStart"/>
            <w:r w:rsidR="00DB0B68" w:rsidRPr="00DB0B68">
              <w:t>ies</w:t>
            </w:r>
            <w:proofErr w:type="spellEnd"/>
            <w:r w:rsidR="00DB0B68" w:rsidRPr="00DB0B68">
              <w:t>) that indicates a lack of understanding of the problems or an approach that cannot be expected to meet requirements or involves a very high risk; and none of these conditions can be corrected without a major rewrite or revision of the proposal.</w:t>
            </w:r>
            <w:r w:rsidR="00DB0B68" w:rsidRPr="0038696C">
              <w:rPr>
                <w:highlight w:val="yellow"/>
              </w:rPr>
              <w:t xml:space="preserve">  </w:t>
            </w:r>
          </w:p>
        </w:tc>
        <w:tc>
          <w:tcPr>
            <w:tcW w:w="2196" w:type="dxa"/>
            <w:tcBorders>
              <w:top w:val="single" w:sz="2" w:space="0" w:color="auto"/>
              <w:left w:val="single" w:sz="2" w:space="0" w:color="auto"/>
              <w:bottom w:val="single" w:sz="2" w:space="0" w:color="auto"/>
            </w:tcBorders>
          </w:tcPr>
          <w:p w14:paraId="1EB69740" w14:textId="77777777" w:rsidR="006C2B6B" w:rsidRPr="00E671B3" w:rsidRDefault="004C5DEC" w:rsidP="006A18DA">
            <w:pPr>
              <w:rPr>
                <w:b/>
              </w:rPr>
            </w:pPr>
            <w:r w:rsidRPr="00E671B3">
              <w:rPr>
                <w:b/>
              </w:rPr>
              <w:lastRenderedPageBreak/>
              <w:t>Technical Rating:</w:t>
            </w:r>
          </w:p>
          <w:p w14:paraId="1EB69753" w14:textId="77777777" w:rsidR="00EB19C4" w:rsidRPr="00E671B3" w:rsidRDefault="00EB19C4" w:rsidP="006A18DA"/>
          <w:p w14:paraId="1EB69754" w14:textId="77777777" w:rsidR="002E71AA" w:rsidRPr="00E671B3" w:rsidRDefault="002E71AA" w:rsidP="006A18DA">
            <w:r w:rsidRPr="00E671B3">
              <w:t>Unacceptable</w:t>
            </w:r>
          </w:p>
        </w:tc>
      </w:tr>
      <w:tr w:rsidR="003874B3" w:rsidRPr="00E671B3" w14:paraId="1EB69758" w14:textId="77777777" w:rsidTr="00A7393C">
        <w:trPr>
          <w:trHeight w:val="268"/>
        </w:trPr>
        <w:tc>
          <w:tcPr>
            <w:tcW w:w="8352" w:type="dxa"/>
            <w:gridSpan w:val="2"/>
            <w:tcBorders>
              <w:top w:val="single" w:sz="4" w:space="0" w:color="auto"/>
              <w:bottom w:val="single" w:sz="2" w:space="0" w:color="auto"/>
              <w:right w:val="single" w:sz="2" w:space="0" w:color="auto"/>
            </w:tcBorders>
          </w:tcPr>
          <w:p w14:paraId="1EB69756" w14:textId="77777777" w:rsidR="003874B3" w:rsidRPr="00E671B3" w:rsidRDefault="003874B3" w:rsidP="006A18DA"/>
        </w:tc>
        <w:tc>
          <w:tcPr>
            <w:tcW w:w="2196" w:type="dxa"/>
            <w:tcBorders>
              <w:top w:val="single" w:sz="2" w:space="0" w:color="auto"/>
              <w:left w:val="single" w:sz="2" w:space="0" w:color="auto"/>
              <w:bottom w:val="single" w:sz="2" w:space="0" w:color="auto"/>
            </w:tcBorders>
          </w:tcPr>
          <w:p w14:paraId="1EB69757" w14:textId="77777777" w:rsidR="003874B3" w:rsidRPr="00E671B3" w:rsidRDefault="003874B3" w:rsidP="006A18DA"/>
        </w:tc>
      </w:tr>
      <w:tr w:rsidR="003874B3" w:rsidRPr="00E671B3" w14:paraId="1EB69760" w14:textId="77777777" w:rsidTr="00A7393C">
        <w:tc>
          <w:tcPr>
            <w:tcW w:w="8352" w:type="dxa"/>
            <w:gridSpan w:val="2"/>
            <w:tcBorders>
              <w:top w:val="single" w:sz="2" w:space="0" w:color="auto"/>
              <w:bottom w:val="single" w:sz="18" w:space="0" w:color="auto"/>
              <w:right w:val="single" w:sz="2" w:space="0" w:color="auto"/>
            </w:tcBorders>
          </w:tcPr>
          <w:p w14:paraId="1EB69759" w14:textId="77777777" w:rsidR="003874B3" w:rsidRPr="00E671B3" w:rsidRDefault="003874B3" w:rsidP="006A18DA">
            <w:pPr>
              <w:rPr>
                <w:b/>
              </w:rPr>
            </w:pPr>
            <w:r w:rsidRPr="00E671B3">
              <w:rPr>
                <w:b/>
              </w:rPr>
              <w:t>Evaluator Signature</w:t>
            </w:r>
          </w:p>
          <w:p w14:paraId="1EB6975A" w14:textId="77777777" w:rsidR="003874B3" w:rsidRPr="00E671B3" w:rsidRDefault="003874B3" w:rsidP="006A18DA">
            <w:pPr>
              <w:rPr>
                <w:b/>
              </w:rPr>
            </w:pPr>
          </w:p>
          <w:p w14:paraId="4B5924F5" w14:textId="77777777" w:rsidR="003874B3" w:rsidRDefault="003874B3" w:rsidP="00B64D09">
            <w:pPr>
              <w:rPr>
                <w:i/>
                <w:color w:val="0070C0"/>
              </w:rPr>
            </w:pPr>
          </w:p>
          <w:p w14:paraId="2CFD1A2F" w14:textId="77777777" w:rsidR="00B64D09" w:rsidRDefault="00B64D09" w:rsidP="00B64D09">
            <w:pPr>
              <w:rPr>
                <w:i/>
                <w:color w:val="0070C0"/>
              </w:rPr>
            </w:pPr>
          </w:p>
          <w:p w14:paraId="1EB6975C" w14:textId="77777777" w:rsidR="00B64D09" w:rsidRPr="00E671B3" w:rsidRDefault="00B64D09" w:rsidP="00B64D09">
            <w:pPr>
              <w:rPr>
                <w:b/>
              </w:rPr>
            </w:pPr>
          </w:p>
        </w:tc>
        <w:tc>
          <w:tcPr>
            <w:tcW w:w="2196" w:type="dxa"/>
            <w:tcBorders>
              <w:top w:val="single" w:sz="2" w:space="0" w:color="auto"/>
              <w:left w:val="single" w:sz="2" w:space="0" w:color="auto"/>
              <w:bottom w:val="single" w:sz="18" w:space="0" w:color="auto"/>
              <w:right w:val="single" w:sz="2" w:space="0" w:color="auto"/>
            </w:tcBorders>
          </w:tcPr>
          <w:p w14:paraId="1EB6975D" w14:textId="77777777" w:rsidR="003874B3" w:rsidRPr="00E671B3" w:rsidRDefault="003874B3" w:rsidP="006A18DA">
            <w:pPr>
              <w:rPr>
                <w:b/>
              </w:rPr>
            </w:pPr>
            <w:r w:rsidRPr="00E671B3">
              <w:rPr>
                <w:b/>
              </w:rPr>
              <w:t>Date</w:t>
            </w:r>
          </w:p>
          <w:p w14:paraId="1EB6975E" w14:textId="77777777" w:rsidR="008E7A8B" w:rsidRPr="00E671B3" w:rsidRDefault="008E7A8B" w:rsidP="006A18DA">
            <w:pPr>
              <w:rPr>
                <w:b/>
              </w:rPr>
            </w:pPr>
          </w:p>
          <w:p w14:paraId="1EB6975F" w14:textId="77777777" w:rsidR="008E7A8B" w:rsidRPr="00E671B3" w:rsidRDefault="008E7A8B" w:rsidP="006A18DA">
            <w:pPr>
              <w:rPr>
                <w:b/>
              </w:rPr>
            </w:pPr>
          </w:p>
        </w:tc>
      </w:tr>
      <w:tr w:rsidR="00CE4487" w:rsidRPr="00E671B3" w14:paraId="1EB69762" w14:textId="77777777" w:rsidTr="00A7393C">
        <w:tc>
          <w:tcPr>
            <w:tcW w:w="10548" w:type="dxa"/>
            <w:gridSpan w:val="3"/>
            <w:tcBorders>
              <w:top w:val="single" w:sz="2" w:space="0" w:color="auto"/>
              <w:bottom w:val="single" w:sz="18" w:space="0" w:color="auto"/>
            </w:tcBorders>
          </w:tcPr>
          <w:p w14:paraId="1EB69761" w14:textId="77777777" w:rsidR="00CE4487" w:rsidRPr="00E671B3" w:rsidRDefault="00CE4487" w:rsidP="006A18DA">
            <w:pPr>
              <w:rPr>
                <w:b/>
              </w:rPr>
            </w:pPr>
          </w:p>
        </w:tc>
      </w:tr>
    </w:tbl>
    <w:p w14:paraId="73B3891D" w14:textId="49A01C2A" w:rsidR="002B3F6C" w:rsidRDefault="002B3F6C" w:rsidP="00E671B3">
      <w:pPr>
        <w:rPr>
          <w:i/>
        </w:rPr>
      </w:pPr>
    </w:p>
    <w:p w14:paraId="1E655033" w14:textId="2FC27F4F" w:rsidR="002B3F6C" w:rsidRDefault="002B3F6C" w:rsidP="00E671B3">
      <w:pPr>
        <w:rPr>
          <w:i/>
        </w:rPr>
      </w:pPr>
    </w:p>
    <w:p w14:paraId="539AB7D0" w14:textId="718A96A7" w:rsidR="002B3F6C" w:rsidRDefault="002B3F6C" w:rsidP="00E671B3">
      <w:pPr>
        <w:rPr>
          <w:i/>
        </w:rPr>
      </w:pPr>
    </w:p>
    <w:p w14:paraId="6CC27AAD" w14:textId="7BE94258" w:rsidR="002B3F6C" w:rsidRDefault="002B3F6C" w:rsidP="00E671B3">
      <w:pPr>
        <w:rPr>
          <w:i/>
        </w:rPr>
      </w:pPr>
    </w:p>
    <w:p w14:paraId="216705F6" w14:textId="085C7926" w:rsidR="002B3F6C" w:rsidRDefault="002B3F6C" w:rsidP="00E671B3">
      <w:pPr>
        <w:rPr>
          <w:i/>
        </w:rPr>
      </w:pPr>
    </w:p>
    <w:sectPr w:rsidR="002B3F6C" w:rsidSect="00C648F2">
      <w:footerReference w:type="default" r:id="rId11"/>
      <w:pgSz w:w="12240" w:h="15840"/>
      <w:pgMar w:top="864" w:right="1008" w:bottom="144"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4C7796" w14:textId="77777777" w:rsidR="00452164" w:rsidRDefault="00452164" w:rsidP="00A142ED">
      <w:r>
        <w:separator/>
      </w:r>
    </w:p>
  </w:endnote>
  <w:endnote w:type="continuationSeparator" w:id="0">
    <w:p w14:paraId="4B88E3E5" w14:textId="77777777" w:rsidR="00452164" w:rsidRDefault="00452164" w:rsidP="00A142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6A37A1" w14:textId="643AD85E" w:rsidR="00A142ED" w:rsidRDefault="00A142ED" w:rsidP="007E2A97">
    <w:pPr>
      <w:pStyle w:val="Footer"/>
      <w:jc w:val="center"/>
    </w:pPr>
    <w:r>
      <w:rPr>
        <w:rStyle w:val="Emphasis"/>
        <w:rFonts w:ascii="Arial" w:hAnsi="Arial" w:cs="Arial"/>
        <w:color w:val="000000"/>
        <w:bdr w:val="none" w:sz="0" w:space="0" w:color="auto" w:frame="1"/>
        <w:shd w:val="clear" w:color="auto" w:fill="FFFFFF"/>
      </w:rPr>
      <w:t>“Source Selection Information-See FAR</w:t>
    </w:r>
    <w:r>
      <w:rPr>
        <w:rFonts w:ascii="Arial" w:hAnsi="Arial" w:cs="Arial"/>
        <w:color w:val="000000"/>
        <w:shd w:val="clear" w:color="auto" w:fill="FFFFFF"/>
      </w:rPr>
      <w:t> </w:t>
    </w:r>
    <w:hyperlink r:id="rId1" w:anchor="i1125359" w:history="1">
      <w:r>
        <w:rPr>
          <w:rStyle w:val="Hyperlink"/>
          <w:rFonts w:ascii="Arial" w:hAnsi="Arial" w:cs="Arial"/>
          <w:color w:val="1062AE"/>
          <w:bdr w:val="none" w:sz="0" w:space="0" w:color="auto" w:frame="1"/>
          <w:shd w:val="clear" w:color="auto" w:fill="FFFFFF"/>
        </w:rPr>
        <w:t>2.101</w:t>
      </w:r>
    </w:hyperlink>
    <w:r>
      <w:rPr>
        <w:rFonts w:ascii="Arial" w:hAnsi="Arial" w:cs="Arial"/>
        <w:color w:val="000000"/>
        <w:shd w:val="clear" w:color="auto" w:fill="FFFFFF"/>
      </w:rPr>
      <w:t> </w:t>
    </w:r>
    <w:r>
      <w:rPr>
        <w:rStyle w:val="Emphasis"/>
        <w:rFonts w:ascii="Arial" w:hAnsi="Arial" w:cs="Arial"/>
        <w:color w:val="000000"/>
        <w:bdr w:val="none" w:sz="0" w:space="0" w:color="auto" w:frame="1"/>
        <w:shd w:val="clear" w:color="auto" w:fill="FFFFFF"/>
      </w:rPr>
      <w:t>and </w:t>
    </w:r>
    <w:hyperlink r:id="rId2" w:anchor="i1124683" w:history="1">
      <w:r>
        <w:rPr>
          <w:rStyle w:val="Hyperlink"/>
          <w:rFonts w:ascii="Arial" w:hAnsi="Arial" w:cs="Arial"/>
          <w:i/>
          <w:iCs/>
          <w:color w:val="1062AE"/>
          <w:bdr w:val="none" w:sz="0" w:space="0" w:color="auto" w:frame="1"/>
          <w:shd w:val="clear" w:color="auto" w:fill="FFFFFF"/>
        </w:rPr>
        <w:t>3.104</w:t>
      </w:r>
    </w:hyperlink>
    <w:r>
      <w:rPr>
        <w:rStyle w:val="Emphasis"/>
        <w:rFonts w:ascii="Arial" w:hAnsi="Arial" w:cs="Arial"/>
        <w:color w:val="000000"/>
        <w:bdr w:val="none" w:sz="0" w:space="0" w:color="auto" w:frame="1"/>
        <w:shd w:val="clear" w:color="auto" w:fill="FFFFFF"/>
      </w:rPr>
      <w:t>.”</w:t>
    </w:r>
  </w:p>
  <w:p w14:paraId="19F66C25" w14:textId="77777777" w:rsidR="00A142ED" w:rsidRDefault="00A142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E98DDB" w14:textId="77777777" w:rsidR="00452164" w:rsidRDefault="00452164" w:rsidP="00A142ED">
      <w:r>
        <w:separator/>
      </w:r>
    </w:p>
  </w:footnote>
  <w:footnote w:type="continuationSeparator" w:id="0">
    <w:p w14:paraId="257A26A7" w14:textId="77777777" w:rsidR="00452164" w:rsidRDefault="00452164" w:rsidP="00A142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3"/>
    <w:multiLevelType w:val="singleLevel"/>
    <w:tmpl w:val="5700F9C6"/>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0D0821DA"/>
    <w:multiLevelType w:val="hybridMultilevel"/>
    <w:tmpl w:val="BDFAD37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434EE2"/>
    <w:multiLevelType w:val="hybridMultilevel"/>
    <w:tmpl w:val="69E02F1C"/>
    <w:lvl w:ilvl="0" w:tplc="AC409F6C">
      <w:start w:val="1"/>
      <w:numFmt w:val="decimal"/>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782F14"/>
    <w:multiLevelType w:val="hybridMultilevel"/>
    <w:tmpl w:val="A726D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3635B0"/>
    <w:multiLevelType w:val="hybridMultilevel"/>
    <w:tmpl w:val="99C49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C453A1"/>
    <w:multiLevelType w:val="hybridMultilevel"/>
    <w:tmpl w:val="C7AA7582"/>
    <w:lvl w:ilvl="0" w:tplc="5DE813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057DA0"/>
    <w:multiLevelType w:val="hybridMultilevel"/>
    <w:tmpl w:val="4ACA8476"/>
    <w:lvl w:ilvl="0" w:tplc="4CACC904">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1237A8"/>
    <w:multiLevelType w:val="hybridMultilevel"/>
    <w:tmpl w:val="A5843756"/>
    <w:lvl w:ilvl="0" w:tplc="59E625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7515AB"/>
    <w:multiLevelType w:val="hybridMultilevel"/>
    <w:tmpl w:val="5DE80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08272C"/>
    <w:multiLevelType w:val="hybridMultilevel"/>
    <w:tmpl w:val="E79E1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B355CA"/>
    <w:multiLevelType w:val="hybridMultilevel"/>
    <w:tmpl w:val="92DC8D2E"/>
    <w:lvl w:ilvl="0" w:tplc="80A6E384">
      <w:start w:val="2"/>
      <w:numFmt w:val="decimal"/>
      <w:lvlText w:val="%1)"/>
      <w:lvlJc w:val="left"/>
      <w:pPr>
        <w:ind w:left="720" w:hanging="360"/>
      </w:pPr>
      <w:rPr>
        <w:rFonts w:ascii="Times New Roman" w:hAnsi="Times New Roman"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016AF7"/>
    <w:multiLevelType w:val="hybridMultilevel"/>
    <w:tmpl w:val="A224CFDA"/>
    <w:lvl w:ilvl="0" w:tplc="964087CA">
      <w:start w:val="1"/>
      <w:numFmt w:val="decimal"/>
      <w:lvlText w:val="%1."/>
      <w:lvlJc w:val="left"/>
      <w:pPr>
        <w:ind w:left="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A0CD9BE">
      <w:start w:val="1"/>
      <w:numFmt w:val="lowerLetter"/>
      <w:lvlText w:val="%2."/>
      <w:lvlJc w:val="left"/>
      <w:pPr>
        <w:ind w:left="9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61CC97E">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77661FA">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39AF8F0">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CFEF02C">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86C993E">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BD0D742">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BCC1D02">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69145F99"/>
    <w:multiLevelType w:val="hybridMultilevel"/>
    <w:tmpl w:val="8CB6B6FA"/>
    <w:lvl w:ilvl="0" w:tplc="97202D3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576AF2"/>
    <w:multiLevelType w:val="hybridMultilevel"/>
    <w:tmpl w:val="1C148E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7A11E7C"/>
    <w:multiLevelType w:val="hybridMultilevel"/>
    <w:tmpl w:val="8188BD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9F207E3"/>
    <w:multiLevelType w:val="hybridMultilevel"/>
    <w:tmpl w:val="70328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2105979">
    <w:abstractNumId w:val="0"/>
  </w:num>
  <w:num w:numId="2" w16cid:durableId="1242376797">
    <w:abstractNumId w:val="3"/>
  </w:num>
  <w:num w:numId="3" w16cid:durableId="1884520138">
    <w:abstractNumId w:val="8"/>
  </w:num>
  <w:num w:numId="4" w16cid:durableId="333192415">
    <w:abstractNumId w:val="15"/>
  </w:num>
  <w:num w:numId="5" w16cid:durableId="1972397281">
    <w:abstractNumId w:val="4"/>
  </w:num>
  <w:num w:numId="6" w16cid:durableId="1434280424">
    <w:abstractNumId w:val="2"/>
  </w:num>
  <w:num w:numId="7" w16cid:durableId="433523268">
    <w:abstractNumId w:val="13"/>
  </w:num>
  <w:num w:numId="8" w16cid:durableId="197206969">
    <w:abstractNumId w:val="10"/>
  </w:num>
  <w:num w:numId="9" w16cid:durableId="1416634970">
    <w:abstractNumId w:val="14"/>
  </w:num>
  <w:num w:numId="10" w16cid:durableId="2115323917">
    <w:abstractNumId w:val="12"/>
  </w:num>
  <w:num w:numId="11" w16cid:durableId="645625592">
    <w:abstractNumId w:val="7"/>
  </w:num>
  <w:num w:numId="12" w16cid:durableId="535046708">
    <w:abstractNumId w:val="9"/>
  </w:num>
  <w:num w:numId="13" w16cid:durableId="1026060903">
    <w:abstractNumId w:val="1"/>
  </w:num>
  <w:num w:numId="14" w16cid:durableId="2009361185">
    <w:abstractNumId w:val="5"/>
  </w:num>
  <w:num w:numId="15" w16cid:durableId="1124808811">
    <w:abstractNumId w:val="6"/>
  </w:num>
  <w:num w:numId="16" w16cid:durableId="1759592327">
    <w:abstractNumId w:val="1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4"/>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2B6B"/>
    <w:rsid w:val="00002400"/>
    <w:rsid w:val="00005154"/>
    <w:rsid w:val="00011065"/>
    <w:rsid w:val="00013538"/>
    <w:rsid w:val="00026972"/>
    <w:rsid w:val="00032423"/>
    <w:rsid w:val="00035AF8"/>
    <w:rsid w:val="000404B9"/>
    <w:rsid w:val="00047A9E"/>
    <w:rsid w:val="000605BB"/>
    <w:rsid w:val="00060DE3"/>
    <w:rsid w:val="00075269"/>
    <w:rsid w:val="00081086"/>
    <w:rsid w:val="00081762"/>
    <w:rsid w:val="00081A0D"/>
    <w:rsid w:val="00086141"/>
    <w:rsid w:val="00090773"/>
    <w:rsid w:val="0009176E"/>
    <w:rsid w:val="00096536"/>
    <w:rsid w:val="000A28FF"/>
    <w:rsid w:val="000A333B"/>
    <w:rsid w:val="000A4136"/>
    <w:rsid w:val="000A42BA"/>
    <w:rsid w:val="000A6B79"/>
    <w:rsid w:val="000B0564"/>
    <w:rsid w:val="000C0D6C"/>
    <w:rsid w:val="000D1ED1"/>
    <w:rsid w:val="000E3936"/>
    <w:rsid w:val="000F7D76"/>
    <w:rsid w:val="00100D0B"/>
    <w:rsid w:val="001032C5"/>
    <w:rsid w:val="00105C1D"/>
    <w:rsid w:val="00115686"/>
    <w:rsid w:val="00120648"/>
    <w:rsid w:val="001209BB"/>
    <w:rsid w:val="001253AD"/>
    <w:rsid w:val="00125B3F"/>
    <w:rsid w:val="001273D9"/>
    <w:rsid w:val="00134CEA"/>
    <w:rsid w:val="00135467"/>
    <w:rsid w:val="001409F7"/>
    <w:rsid w:val="0014376C"/>
    <w:rsid w:val="00150D71"/>
    <w:rsid w:val="00156EAF"/>
    <w:rsid w:val="001575CF"/>
    <w:rsid w:val="001631B3"/>
    <w:rsid w:val="001648DC"/>
    <w:rsid w:val="00165BEE"/>
    <w:rsid w:val="00170546"/>
    <w:rsid w:val="00173996"/>
    <w:rsid w:val="00175132"/>
    <w:rsid w:val="00176508"/>
    <w:rsid w:val="00184B7E"/>
    <w:rsid w:val="00190953"/>
    <w:rsid w:val="00192CF1"/>
    <w:rsid w:val="00193B31"/>
    <w:rsid w:val="001A000A"/>
    <w:rsid w:val="001A4FB6"/>
    <w:rsid w:val="001A64D4"/>
    <w:rsid w:val="001C1764"/>
    <w:rsid w:val="001C17B8"/>
    <w:rsid w:val="001C24D4"/>
    <w:rsid w:val="001C6A4F"/>
    <w:rsid w:val="001D3288"/>
    <w:rsid w:val="001D4D63"/>
    <w:rsid w:val="001D5B60"/>
    <w:rsid w:val="001E147E"/>
    <w:rsid w:val="001E4DA1"/>
    <w:rsid w:val="001E6FB4"/>
    <w:rsid w:val="001F4BA6"/>
    <w:rsid w:val="001F5D5B"/>
    <w:rsid w:val="001F6767"/>
    <w:rsid w:val="00200CF3"/>
    <w:rsid w:val="0021197B"/>
    <w:rsid w:val="0021259D"/>
    <w:rsid w:val="00212A20"/>
    <w:rsid w:val="002167E2"/>
    <w:rsid w:val="00217C3C"/>
    <w:rsid w:val="0022192D"/>
    <w:rsid w:val="002329E8"/>
    <w:rsid w:val="002333EE"/>
    <w:rsid w:val="00234264"/>
    <w:rsid w:val="00235B27"/>
    <w:rsid w:val="00235DE7"/>
    <w:rsid w:val="00242829"/>
    <w:rsid w:val="00242FF5"/>
    <w:rsid w:val="002532AC"/>
    <w:rsid w:val="00253C64"/>
    <w:rsid w:val="002611D0"/>
    <w:rsid w:val="00274900"/>
    <w:rsid w:val="0027714F"/>
    <w:rsid w:val="00280F39"/>
    <w:rsid w:val="0028228C"/>
    <w:rsid w:val="00285876"/>
    <w:rsid w:val="00291D09"/>
    <w:rsid w:val="00291EC9"/>
    <w:rsid w:val="00294B4F"/>
    <w:rsid w:val="0029519C"/>
    <w:rsid w:val="002A493A"/>
    <w:rsid w:val="002A61CC"/>
    <w:rsid w:val="002B3F6C"/>
    <w:rsid w:val="002C02CB"/>
    <w:rsid w:val="002C2731"/>
    <w:rsid w:val="002C2A97"/>
    <w:rsid w:val="002E71AA"/>
    <w:rsid w:val="002F2E2E"/>
    <w:rsid w:val="002F331E"/>
    <w:rsid w:val="002F7125"/>
    <w:rsid w:val="00301A9A"/>
    <w:rsid w:val="00302EF4"/>
    <w:rsid w:val="00304D5B"/>
    <w:rsid w:val="003058C3"/>
    <w:rsid w:val="00306C3C"/>
    <w:rsid w:val="00310F8F"/>
    <w:rsid w:val="00314F78"/>
    <w:rsid w:val="00316BFA"/>
    <w:rsid w:val="0032040A"/>
    <w:rsid w:val="00323BAC"/>
    <w:rsid w:val="00324F72"/>
    <w:rsid w:val="00330C44"/>
    <w:rsid w:val="00333517"/>
    <w:rsid w:val="003417A8"/>
    <w:rsid w:val="00354B38"/>
    <w:rsid w:val="00355157"/>
    <w:rsid w:val="003577B7"/>
    <w:rsid w:val="003605EE"/>
    <w:rsid w:val="003626BE"/>
    <w:rsid w:val="00364F36"/>
    <w:rsid w:val="00365BC4"/>
    <w:rsid w:val="00365E4C"/>
    <w:rsid w:val="00365EC7"/>
    <w:rsid w:val="00374402"/>
    <w:rsid w:val="00375E7A"/>
    <w:rsid w:val="00376DA6"/>
    <w:rsid w:val="003771C2"/>
    <w:rsid w:val="003840B1"/>
    <w:rsid w:val="003856E8"/>
    <w:rsid w:val="003874B3"/>
    <w:rsid w:val="00390571"/>
    <w:rsid w:val="0039306E"/>
    <w:rsid w:val="00394D39"/>
    <w:rsid w:val="00395A4A"/>
    <w:rsid w:val="003A0BF8"/>
    <w:rsid w:val="003A111B"/>
    <w:rsid w:val="003A2453"/>
    <w:rsid w:val="003A3DDD"/>
    <w:rsid w:val="003B1C78"/>
    <w:rsid w:val="003B49C5"/>
    <w:rsid w:val="003B74E2"/>
    <w:rsid w:val="003C09C1"/>
    <w:rsid w:val="003C3BB9"/>
    <w:rsid w:val="003D3F05"/>
    <w:rsid w:val="003D5123"/>
    <w:rsid w:val="003E15EF"/>
    <w:rsid w:val="003E309A"/>
    <w:rsid w:val="003E3E25"/>
    <w:rsid w:val="003F0E68"/>
    <w:rsid w:val="003F4AC1"/>
    <w:rsid w:val="003F4B47"/>
    <w:rsid w:val="003F57D1"/>
    <w:rsid w:val="00405A9E"/>
    <w:rsid w:val="00405C9A"/>
    <w:rsid w:val="0041053E"/>
    <w:rsid w:val="004120AE"/>
    <w:rsid w:val="0042202F"/>
    <w:rsid w:val="004302AA"/>
    <w:rsid w:val="004326BC"/>
    <w:rsid w:val="004347FB"/>
    <w:rsid w:val="00436B8A"/>
    <w:rsid w:val="00442FAF"/>
    <w:rsid w:val="00444AF6"/>
    <w:rsid w:val="00451CE0"/>
    <w:rsid w:val="00452164"/>
    <w:rsid w:val="004537EB"/>
    <w:rsid w:val="0045589B"/>
    <w:rsid w:val="00456276"/>
    <w:rsid w:val="004608C8"/>
    <w:rsid w:val="0046461F"/>
    <w:rsid w:val="00464AEC"/>
    <w:rsid w:val="00473B02"/>
    <w:rsid w:val="004768DA"/>
    <w:rsid w:val="0048194C"/>
    <w:rsid w:val="004831A0"/>
    <w:rsid w:val="004836C5"/>
    <w:rsid w:val="0048745E"/>
    <w:rsid w:val="00490E54"/>
    <w:rsid w:val="0049381E"/>
    <w:rsid w:val="004951F4"/>
    <w:rsid w:val="00495B5E"/>
    <w:rsid w:val="00496535"/>
    <w:rsid w:val="004A0E8C"/>
    <w:rsid w:val="004A14E0"/>
    <w:rsid w:val="004A26D5"/>
    <w:rsid w:val="004A569D"/>
    <w:rsid w:val="004A6176"/>
    <w:rsid w:val="004B1767"/>
    <w:rsid w:val="004B1B4E"/>
    <w:rsid w:val="004B33C5"/>
    <w:rsid w:val="004C4628"/>
    <w:rsid w:val="004C5DEC"/>
    <w:rsid w:val="004D0504"/>
    <w:rsid w:val="004D7305"/>
    <w:rsid w:val="004E08D9"/>
    <w:rsid w:val="004E0D59"/>
    <w:rsid w:val="004E32CC"/>
    <w:rsid w:val="004E3868"/>
    <w:rsid w:val="0050440A"/>
    <w:rsid w:val="005118C3"/>
    <w:rsid w:val="00514312"/>
    <w:rsid w:val="005143ED"/>
    <w:rsid w:val="005227AD"/>
    <w:rsid w:val="00525AF0"/>
    <w:rsid w:val="00527405"/>
    <w:rsid w:val="00534D19"/>
    <w:rsid w:val="005362A0"/>
    <w:rsid w:val="0053654F"/>
    <w:rsid w:val="0053787A"/>
    <w:rsid w:val="0055391A"/>
    <w:rsid w:val="005556BC"/>
    <w:rsid w:val="005566E3"/>
    <w:rsid w:val="00557E12"/>
    <w:rsid w:val="00561478"/>
    <w:rsid w:val="005619D2"/>
    <w:rsid w:val="00561C3C"/>
    <w:rsid w:val="005651B5"/>
    <w:rsid w:val="005679CB"/>
    <w:rsid w:val="00576D40"/>
    <w:rsid w:val="0058003F"/>
    <w:rsid w:val="00581DA0"/>
    <w:rsid w:val="00587B5F"/>
    <w:rsid w:val="00593230"/>
    <w:rsid w:val="00593356"/>
    <w:rsid w:val="005957A9"/>
    <w:rsid w:val="00596973"/>
    <w:rsid w:val="00597085"/>
    <w:rsid w:val="005A4A69"/>
    <w:rsid w:val="005B1C55"/>
    <w:rsid w:val="005D010B"/>
    <w:rsid w:val="005E166E"/>
    <w:rsid w:val="005E1FAE"/>
    <w:rsid w:val="005E2F5C"/>
    <w:rsid w:val="005F4420"/>
    <w:rsid w:val="005F5BB5"/>
    <w:rsid w:val="006064BE"/>
    <w:rsid w:val="00613396"/>
    <w:rsid w:val="00614A3A"/>
    <w:rsid w:val="006271F2"/>
    <w:rsid w:val="00630CAA"/>
    <w:rsid w:val="00631030"/>
    <w:rsid w:val="0063165D"/>
    <w:rsid w:val="006348B6"/>
    <w:rsid w:val="006371D9"/>
    <w:rsid w:val="00637AF2"/>
    <w:rsid w:val="00640102"/>
    <w:rsid w:val="00642A52"/>
    <w:rsid w:val="00642F08"/>
    <w:rsid w:val="00650FC9"/>
    <w:rsid w:val="00656320"/>
    <w:rsid w:val="00656843"/>
    <w:rsid w:val="006611D1"/>
    <w:rsid w:val="00661D1D"/>
    <w:rsid w:val="00672384"/>
    <w:rsid w:val="00675496"/>
    <w:rsid w:val="00683AF3"/>
    <w:rsid w:val="00685388"/>
    <w:rsid w:val="00685862"/>
    <w:rsid w:val="006A18DA"/>
    <w:rsid w:val="006A56AE"/>
    <w:rsid w:val="006A624D"/>
    <w:rsid w:val="006B2422"/>
    <w:rsid w:val="006B66F9"/>
    <w:rsid w:val="006B7BAE"/>
    <w:rsid w:val="006C2B6B"/>
    <w:rsid w:val="006D50C7"/>
    <w:rsid w:val="006D618A"/>
    <w:rsid w:val="006E04A1"/>
    <w:rsid w:val="006E5BD5"/>
    <w:rsid w:val="006E5DF4"/>
    <w:rsid w:val="006F032B"/>
    <w:rsid w:val="006F0950"/>
    <w:rsid w:val="006F0AB8"/>
    <w:rsid w:val="006F34FB"/>
    <w:rsid w:val="006F40D1"/>
    <w:rsid w:val="006F4601"/>
    <w:rsid w:val="006F73F9"/>
    <w:rsid w:val="006F741D"/>
    <w:rsid w:val="007017C4"/>
    <w:rsid w:val="0070297A"/>
    <w:rsid w:val="00707736"/>
    <w:rsid w:val="00714BED"/>
    <w:rsid w:val="00715EA9"/>
    <w:rsid w:val="00717A47"/>
    <w:rsid w:val="00722F3E"/>
    <w:rsid w:val="007260D8"/>
    <w:rsid w:val="00726C23"/>
    <w:rsid w:val="007335C9"/>
    <w:rsid w:val="00734F8A"/>
    <w:rsid w:val="00735C86"/>
    <w:rsid w:val="00735D80"/>
    <w:rsid w:val="00737680"/>
    <w:rsid w:val="0076171C"/>
    <w:rsid w:val="0077432B"/>
    <w:rsid w:val="00781F01"/>
    <w:rsid w:val="00784844"/>
    <w:rsid w:val="0078690A"/>
    <w:rsid w:val="007869ED"/>
    <w:rsid w:val="0078783A"/>
    <w:rsid w:val="00793E3B"/>
    <w:rsid w:val="007946C8"/>
    <w:rsid w:val="00796A76"/>
    <w:rsid w:val="007A0E0A"/>
    <w:rsid w:val="007A2CEA"/>
    <w:rsid w:val="007A33D2"/>
    <w:rsid w:val="007A4832"/>
    <w:rsid w:val="007A4867"/>
    <w:rsid w:val="007B175F"/>
    <w:rsid w:val="007B3B05"/>
    <w:rsid w:val="007B5B5A"/>
    <w:rsid w:val="007B5D8C"/>
    <w:rsid w:val="007C2B23"/>
    <w:rsid w:val="007D2D9F"/>
    <w:rsid w:val="007D369C"/>
    <w:rsid w:val="007D450E"/>
    <w:rsid w:val="007D4EDD"/>
    <w:rsid w:val="007E0ECA"/>
    <w:rsid w:val="007E2A97"/>
    <w:rsid w:val="007F056B"/>
    <w:rsid w:val="007F768D"/>
    <w:rsid w:val="008034BA"/>
    <w:rsid w:val="008124A6"/>
    <w:rsid w:val="00812557"/>
    <w:rsid w:val="00812BF3"/>
    <w:rsid w:val="00814BC2"/>
    <w:rsid w:val="008157E9"/>
    <w:rsid w:val="00815CE1"/>
    <w:rsid w:val="0082130C"/>
    <w:rsid w:val="00823A86"/>
    <w:rsid w:val="0083539F"/>
    <w:rsid w:val="0083608F"/>
    <w:rsid w:val="00837609"/>
    <w:rsid w:val="00841AF6"/>
    <w:rsid w:val="00841B12"/>
    <w:rsid w:val="00841FD1"/>
    <w:rsid w:val="00846950"/>
    <w:rsid w:val="0084756C"/>
    <w:rsid w:val="00860EFE"/>
    <w:rsid w:val="00861475"/>
    <w:rsid w:val="00862111"/>
    <w:rsid w:val="00862A5A"/>
    <w:rsid w:val="00866466"/>
    <w:rsid w:val="008711A7"/>
    <w:rsid w:val="00873377"/>
    <w:rsid w:val="00890A10"/>
    <w:rsid w:val="008A4918"/>
    <w:rsid w:val="008A66C1"/>
    <w:rsid w:val="008B0F54"/>
    <w:rsid w:val="008B43A6"/>
    <w:rsid w:val="008B5988"/>
    <w:rsid w:val="008C35ED"/>
    <w:rsid w:val="008C701A"/>
    <w:rsid w:val="008D4693"/>
    <w:rsid w:val="008E3F71"/>
    <w:rsid w:val="008E7A8B"/>
    <w:rsid w:val="008F1580"/>
    <w:rsid w:val="008F1C4F"/>
    <w:rsid w:val="008F1D57"/>
    <w:rsid w:val="008F48A1"/>
    <w:rsid w:val="00900506"/>
    <w:rsid w:val="00900BA5"/>
    <w:rsid w:val="009068D2"/>
    <w:rsid w:val="00907ADC"/>
    <w:rsid w:val="00911043"/>
    <w:rsid w:val="00912CF7"/>
    <w:rsid w:val="00912FA0"/>
    <w:rsid w:val="0091694D"/>
    <w:rsid w:val="00930F5F"/>
    <w:rsid w:val="0093466C"/>
    <w:rsid w:val="00941CDC"/>
    <w:rsid w:val="00947B8F"/>
    <w:rsid w:val="0095737C"/>
    <w:rsid w:val="00972C17"/>
    <w:rsid w:val="009954B1"/>
    <w:rsid w:val="00997979"/>
    <w:rsid w:val="009A1184"/>
    <w:rsid w:val="009A56AF"/>
    <w:rsid w:val="009A5F45"/>
    <w:rsid w:val="009A64E8"/>
    <w:rsid w:val="009C1446"/>
    <w:rsid w:val="009C227B"/>
    <w:rsid w:val="009C7B31"/>
    <w:rsid w:val="009D1847"/>
    <w:rsid w:val="009D5757"/>
    <w:rsid w:val="009D76FE"/>
    <w:rsid w:val="009E05F5"/>
    <w:rsid w:val="009E42A6"/>
    <w:rsid w:val="009F0B56"/>
    <w:rsid w:val="009F20EE"/>
    <w:rsid w:val="009F6DDA"/>
    <w:rsid w:val="00A02052"/>
    <w:rsid w:val="00A11E2B"/>
    <w:rsid w:val="00A1202F"/>
    <w:rsid w:val="00A12045"/>
    <w:rsid w:val="00A13EE1"/>
    <w:rsid w:val="00A142ED"/>
    <w:rsid w:val="00A14764"/>
    <w:rsid w:val="00A22764"/>
    <w:rsid w:val="00A27662"/>
    <w:rsid w:val="00A30041"/>
    <w:rsid w:val="00A317AB"/>
    <w:rsid w:val="00A328B2"/>
    <w:rsid w:val="00A41EF4"/>
    <w:rsid w:val="00A44568"/>
    <w:rsid w:val="00A5141E"/>
    <w:rsid w:val="00A519C5"/>
    <w:rsid w:val="00A51FF4"/>
    <w:rsid w:val="00A55DE5"/>
    <w:rsid w:val="00A6250B"/>
    <w:rsid w:val="00A66AD3"/>
    <w:rsid w:val="00A7393C"/>
    <w:rsid w:val="00A75F68"/>
    <w:rsid w:val="00A76CCE"/>
    <w:rsid w:val="00A80FD4"/>
    <w:rsid w:val="00A82EE0"/>
    <w:rsid w:val="00A87387"/>
    <w:rsid w:val="00A9035C"/>
    <w:rsid w:val="00A9213F"/>
    <w:rsid w:val="00A95659"/>
    <w:rsid w:val="00A959D8"/>
    <w:rsid w:val="00A97571"/>
    <w:rsid w:val="00AB01AD"/>
    <w:rsid w:val="00AB39C5"/>
    <w:rsid w:val="00AB5E4C"/>
    <w:rsid w:val="00AC477F"/>
    <w:rsid w:val="00AC6282"/>
    <w:rsid w:val="00AD0940"/>
    <w:rsid w:val="00AD2C67"/>
    <w:rsid w:val="00AD2F0C"/>
    <w:rsid w:val="00AD5BB7"/>
    <w:rsid w:val="00AE6FD2"/>
    <w:rsid w:val="00AF2F27"/>
    <w:rsid w:val="00AF34A4"/>
    <w:rsid w:val="00B00880"/>
    <w:rsid w:val="00B02E21"/>
    <w:rsid w:val="00B03BEA"/>
    <w:rsid w:val="00B071AB"/>
    <w:rsid w:val="00B07276"/>
    <w:rsid w:val="00B10D85"/>
    <w:rsid w:val="00B16DB6"/>
    <w:rsid w:val="00B17959"/>
    <w:rsid w:val="00B20866"/>
    <w:rsid w:val="00B22D52"/>
    <w:rsid w:val="00B36404"/>
    <w:rsid w:val="00B3755C"/>
    <w:rsid w:val="00B53EA1"/>
    <w:rsid w:val="00B54F8B"/>
    <w:rsid w:val="00B618E4"/>
    <w:rsid w:val="00B6274B"/>
    <w:rsid w:val="00B63494"/>
    <w:rsid w:val="00B64D09"/>
    <w:rsid w:val="00B67320"/>
    <w:rsid w:val="00B71EE5"/>
    <w:rsid w:val="00B76D1F"/>
    <w:rsid w:val="00B80468"/>
    <w:rsid w:val="00B80542"/>
    <w:rsid w:val="00B814AB"/>
    <w:rsid w:val="00B82AD6"/>
    <w:rsid w:val="00B92A6D"/>
    <w:rsid w:val="00B93D73"/>
    <w:rsid w:val="00B97860"/>
    <w:rsid w:val="00BA0AF7"/>
    <w:rsid w:val="00BA1B9A"/>
    <w:rsid w:val="00BA421F"/>
    <w:rsid w:val="00BA5C13"/>
    <w:rsid w:val="00BB0CED"/>
    <w:rsid w:val="00BD114A"/>
    <w:rsid w:val="00BD1C2D"/>
    <w:rsid w:val="00BD2FB3"/>
    <w:rsid w:val="00BE4220"/>
    <w:rsid w:val="00BE7113"/>
    <w:rsid w:val="00BF6084"/>
    <w:rsid w:val="00BF671B"/>
    <w:rsid w:val="00C00BC3"/>
    <w:rsid w:val="00C01BFB"/>
    <w:rsid w:val="00C02101"/>
    <w:rsid w:val="00C02560"/>
    <w:rsid w:val="00C03649"/>
    <w:rsid w:val="00C03FB4"/>
    <w:rsid w:val="00C05DAF"/>
    <w:rsid w:val="00C06B37"/>
    <w:rsid w:val="00C072AD"/>
    <w:rsid w:val="00C13A1F"/>
    <w:rsid w:val="00C15746"/>
    <w:rsid w:val="00C17972"/>
    <w:rsid w:val="00C20620"/>
    <w:rsid w:val="00C20DBD"/>
    <w:rsid w:val="00C3055A"/>
    <w:rsid w:val="00C32F65"/>
    <w:rsid w:val="00C36F3E"/>
    <w:rsid w:val="00C40E7A"/>
    <w:rsid w:val="00C42438"/>
    <w:rsid w:val="00C42BE0"/>
    <w:rsid w:val="00C471E1"/>
    <w:rsid w:val="00C475DD"/>
    <w:rsid w:val="00C50EDC"/>
    <w:rsid w:val="00C5498B"/>
    <w:rsid w:val="00C55211"/>
    <w:rsid w:val="00C5753B"/>
    <w:rsid w:val="00C57E56"/>
    <w:rsid w:val="00C6262B"/>
    <w:rsid w:val="00C6353B"/>
    <w:rsid w:val="00C648F2"/>
    <w:rsid w:val="00C65A09"/>
    <w:rsid w:val="00C66811"/>
    <w:rsid w:val="00C70EC7"/>
    <w:rsid w:val="00C71537"/>
    <w:rsid w:val="00C72E37"/>
    <w:rsid w:val="00C76DF9"/>
    <w:rsid w:val="00C806DF"/>
    <w:rsid w:val="00C8430E"/>
    <w:rsid w:val="00C8535B"/>
    <w:rsid w:val="00C95D60"/>
    <w:rsid w:val="00CA0CDA"/>
    <w:rsid w:val="00CA2AA6"/>
    <w:rsid w:val="00CC2F1D"/>
    <w:rsid w:val="00CC4E46"/>
    <w:rsid w:val="00CD6D54"/>
    <w:rsid w:val="00CE4487"/>
    <w:rsid w:val="00CF31B5"/>
    <w:rsid w:val="00CF5F8B"/>
    <w:rsid w:val="00D059EC"/>
    <w:rsid w:val="00D114AC"/>
    <w:rsid w:val="00D155D5"/>
    <w:rsid w:val="00D1650F"/>
    <w:rsid w:val="00D174C4"/>
    <w:rsid w:val="00D253B1"/>
    <w:rsid w:val="00D307FF"/>
    <w:rsid w:val="00D352B3"/>
    <w:rsid w:val="00D42CB2"/>
    <w:rsid w:val="00D4525A"/>
    <w:rsid w:val="00D538AA"/>
    <w:rsid w:val="00D54431"/>
    <w:rsid w:val="00D576AB"/>
    <w:rsid w:val="00D57DD8"/>
    <w:rsid w:val="00D65553"/>
    <w:rsid w:val="00D667E5"/>
    <w:rsid w:val="00D72F47"/>
    <w:rsid w:val="00D77EC6"/>
    <w:rsid w:val="00D84289"/>
    <w:rsid w:val="00D863B7"/>
    <w:rsid w:val="00D86D31"/>
    <w:rsid w:val="00D90B2F"/>
    <w:rsid w:val="00DA2E7D"/>
    <w:rsid w:val="00DA4D75"/>
    <w:rsid w:val="00DA5B53"/>
    <w:rsid w:val="00DA69CE"/>
    <w:rsid w:val="00DB0A54"/>
    <w:rsid w:val="00DB0B68"/>
    <w:rsid w:val="00DC119E"/>
    <w:rsid w:val="00DC155E"/>
    <w:rsid w:val="00DC174F"/>
    <w:rsid w:val="00DC1767"/>
    <w:rsid w:val="00DC69B1"/>
    <w:rsid w:val="00DD0995"/>
    <w:rsid w:val="00DD1797"/>
    <w:rsid w:val="00DE56D8"/>
    <w:rsid w:val="00DE58DA"/>
    <w:rsid w:val="00DF50F8"/>
    <w:rsid w:val="00DF5496"/>
    <w:rsid w:val="00DF7D44"/>
    <w:rsid w:val="00E0315E"/>
    <w:rsid w:val="00E03D9D"/>
    <w:rsid w:val="00E1243F"/>
    <w:rsid w:val="00E223F0"/>
    <w:rsid w:val="00E2381C"/>
    <w:rsid w:val="00E32FD5"/>
    <w:rsid w:val="00E343CF"/>
    <w:rsid w:val="00E37F30"/>
    <w:rsid w:val="00E43256"/>
    <w:rsid w:val="00E43370"/>
    <w:rsid w:val="00E45640"/>
    <w:rsid w:val="00E46E61"/>
    <w:rsid w:val="00E4707C"/>
    <w:rsid w:val="00E503EF"/>
    <w:rsid w:val="00E543FD"/>
    <w:rsid w:val="00E548C1"/>
    <w:rsid w:val="00E642C8"/>
    <w:rsid w:val="00E643BE"/>
    <w:rsid w:val="00E645E1"/>
    <w:rsid w:val="00E66867"/>
    <w:rsid w:val="00E66FB3"/>
    <w:rsid w:val="00E671B3"/>
    <w:rsid w:val="00E67CBE"/>
    <w:rsid w:val="00E706F0"/>
    <w:rsid w:val="00E70FC7"/>
    <w:rsid w:val="00E7314E"/>
    <w:rsid w:val="00E75B33"/>
    <w:rsid w:val="00E76E9D"/>
    <w:rsid w:val="00E8137D"/>
    <w:rsid w:val="00E817AF"/>
    <w:rsid w:val="00E8432F"/>
    <w:rsid w:val="00E84C74"/>
    <w:rsid w:val="00E921AD"/>
    <w:rsid w:val="00E96833"/>
    <w:rsid w:val="00EA1881"/>
    <w:rsid w:val="00EA331B"/>
    <w:rsid w:val="00EA5237"/>
    <w:rsid w:val="00EA7C72"/>
    <w:rsid w:val="00EB19C4"/>
    <w:rsid w:val="00EB4614"/>
    <w:rsid w:val="00EB508C"/>
    <w:rsid w:val="00EC1CDD"/>
    <w:rsid w:val="00EC4A56"/>
    <w:rsid w:val="00EC64CB"/>
    <w:rsid w:val="00ED3EB2"/>
    <w:rsid w:val="00ED5472"/>
    <w:rsid w:val="00EE05F2"/>
    <w:rsid w:val="00EE2046"/>
    <w:rsid w:val="00EE4AD6"/>
    <w:rsid w:val="00EE6BCB"/>
    <w:rsid w:val="00EF57FE"/>
    <w:rsid w:val="00EF6167"/>
    <w:rsid w:val="00EF7C8A"/>
    <w:rsid w:val="00F00DBB"/>
    <w:rsid w:val="00F12A6D"/>
    <w:rsid w:val="00F25459"/>
    <w:rsid w:val="00F30321"/>
    <w:rsid w:val="00F36D97"/>
    <w:rsid w:val="00F37E0D"/>
    <w:rsid w:val="00F4152E"/>
    <w:rsid w:val="00F41ECF"/>
    <w:rsid w:val="00F5432A"/>
    <w:rsid w:val="00F62ECF"/>
    <w:rsid w:val="00F66EEF"/>
    <w:rsid w:val="00F709E8"/>
    <w:rsid w:val="00F70F36"/>
    <w:rsid w:val="00F73830"/>
    <w:rsid w:val="00F7655F"/>
    <w:rsid w:val="00F80122"/>
    <w:rsid w:val="00F80F19"/>
    <w:rsid w:val="00F8175C"/>
    <w:rsid w:val="00F8248B"/>
    <w:rsid w:val="00F86C67"/>
    <w:rsid w:val="00F92B76"/>
    <w:rsid w:val="00FA1D6F"/>
    <w:rsid w:val="00FA2074"/>
    <w:rsid w:val="00FA210B"/>
    <w:rsid w:val="00FA455E"/>
    <w:rsid w:val="00FA7E12"/>
    <w:rsid w:val="00FB674D"/>
    <w:rsid w:val="00FC234F"/>
    <w:rsid w:val="00FC29B4"/>
    <w:rsid w:val="00FC53B2"/>
    <w:rsid w:val="00FC56EE"/>
    <w:rsid w:val="00FC6846"/>
    <w:rsid w:val="00FD1588"/>
    <w:rsid w:val="00FE2C97"/>
    <w:rsid w:val="00FE3B9E"/>
    <w:rsid w:val="00FE43A3"/>
    <w:rsid w:val="00FF00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B696C4"/>
  <w15:docId w15:val="{C186D7AE-988C-48CA-9AC6-C5E77AE24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76D1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C2B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AWOBodyText1">
    <w:name w:val="GSAWO Body Text 1"/>
    <w:basedOn w:val="BodyText"/>
    <w:rsid w:val="00734F8A"/>
    <w:rPr>
      <w:szCs w:val="20"/>
    </w:rPr>
  </w:style>
  <w:style w:type="paragraph" w:styleId="BodyText">
    <w:name w:val="Body Text"/>
    <w:basedOn w:val="Normal"/>
    <w:link w:val="BodyTextChar"/>
    <w:rsid w:val="00734F8A"/>
    <w:pPr>
      <w:spacing w:after="120"/>
    </w:pPr>
  </w:style>
  <w:style w:type="character" w:customStyle="1" w:styleId="BodyTextChar">
    <w:name w:val="Body Text Char"/>
    <w:basedOn w:val="DefaultParagraphFont"/>
    <w:link w:val="BodyText"/>
    <w:rsid w:val="00734F8A"/>
    <w:rPr>
      <w:sz w:val="24"/>
      <w:szCs w:val="24"/>
    </w:rPr>
  </w:style>
  <w:style w:type="character" w:customStyle="1" w:styleId="HeaderChar">
    <w:name w:val="Header Char"/>
    <w:aliases w:val="Header1 Char"/>
    <w:basedOn w:val="DefaultParagraphFont"/>
    <w:link w:val="Header"/>
    <w:locked/>
    <w:rsid w:val="008B43A6"/>
    <w:rPr>
      <w:sz w:val="24"/>
      <w:szCs w:val="24"/>
    </w:rPr>
  </w:style>
  <w:style w:type="paragraph" w:styleId="Header">
    <w:name w:val="header"/>
    <w:aliases w:val="Header1"/>
    <w:basedOn w:val="Normal"/>
    <w:link w:val="HeaderChar"/>
    <w:unhideWhenUsed/>
    <w:rsid w:val="008B43A6"/>
    <w:pPr>
      <w:tabs>
        <w:tab w:val="center" w:pos="4320"/>
        <w:tab w:val="right" w:pos="8640"/>
      </w:tabs>
    </w:pPr>
  </w:style>
  <w:style w:type="character" w:customStyle="1" w:styleId="HeaderChar1">
    <w:name w:val="Header Char1"/>
    <w:basedOn w:val="DefaultParagraphFont"/>
    <w:rsid w:val="008B43A6"/>
    <w:rPr>
      <w:sz w:val="24"/>
      <w:szCs w:val="24"/>
    </w:rPr>
  </w:style>
  <w:style w:type="paragraph" w:styleId="ListBullet2">
    <w:name w:val="List Bullet 2"/>
    <w:basedOn w:val="Normal"/>
    <w:rsid w:val="006D618A"/>
    <w:pPr>
      <w:numPr>
        <w:numId w:val="1"/>
      </w:numPr>
    </w:pPr>
  </w:style>
  <w:style w:type="paragraph" w:styleId="List">
    <w:name w:val="List"/>
    <w:basedOn w:val="Normal"/>
    <w:rsid w:val="006D618A"/>
    <w:pPr>
      <w:ind w:left="360" w:hanging="360"/>
    </w:pPr>
    <w:rPr>
      <w:szCs w:val="20"/>
    </w:rPr>
  </w:style>
  <w:style w:type="character" w:styleId="CommentReference">
    <w:name w:val="annotation reference"/>
    <w:basedOn w:val="DefaultParagraphFont"/>
    <w:uiPriority w:val="99"/>
    <w:rsid w:val="00EE6BCB"/>
    <w:rPr>
      <w:sz w:val="16"/>
      <w:szCs w:val="16"/>
    </w:rPr>
  </w:style>
  <w:style w:type="paragraph" w:styleId="CommentText">
    <w:name w:val="annotation text"/>
    <w:basedOn w:val="Normal"/>
    <w:link w:val="CommentTextChar"/>
    <w:uiPriority w:val="99"/>
    <w:rsid w:val="00EE6BCB"/>
    <w:rPr>
      <w:sz w:val="20"/>
      <w:szCs w:val="20"/>
    </w:rPr>
  </w:style>
  <w:style w:type="character" w:customStyle="1" w:styleId="CommentTextChar">
    <w:name w:val="Comment Text Char"/>
    <w:basedOn w:val="DefaultParagraphFont"/>
    <w:link w:val="CommentText"/>
    <w:uiPriority w:val="99"/>
    <w:rsid w:val="00EE6BCB"/>
  </w:style>
  <w:style w:type="paragraph" w:styleId="CommentSubject">
    <w:name w:val="annotation subject"/>
    <w:basedOn w:val="CommentText"/>
    <w:next w:val="CommentText"/>
    <w:link w:val="CommentSubjectChar"/>
    <w:rsid w:val="00EE6BCB"/>
    <w:rPr>
      <w:b/>
      <w:bCs/>
    </w:rPr>
  </w:style>
  <w:style w:type="character" w:customStyle="1" w:styleId="CommentSubjectChar">
    <w:name w:val="Comment Subject Char"/>
    <w:basedOn w:val="CommentTextChar"/>
    <w:link w:val="CommentSubject"/>
    <w:rsid w:val="00EE6BCB"/>
    <w:rPr>
      <w:b/>
      <w:bCs/>
    </w:rPr>
  </w:style>
  <w:style w:type="paragraph" w:styleId="BalloonText">
    <w:name w:val="Balloon Text"/>
    <w:basedOn w:val="Normal"/>
    <w:link w:val="BalloonTextChar"/>
    <w:rsid w:val="00EE6BCB"/>
    <w:rPr>
      <w:rFonts w:ascii="Tahoma" w:hAnsi="Tahoma" w:cs="Tahoma"/>
      <w:sz w:val="16"/>
      <w:szCs w:val="16"/>
    </w:rPr>
  </w:style>
  <w:style w:type="character" w:customStyle="1" w:styleId="BalloonTextChar">
    <w:name w:val="Balloon Text Char"/>
    <w:basedOn w:val="DefaultParagraphFont"/>
    <w:link w:val="BalloonText"/>
    <w:rsid w:val="00EE6BCB"/>
    <w:rPr>
      <w:rFonts w:ascii="Tahoma" w:hAnsi="Tahoma" w:cs="Tahoma"/>
      <w:sz w:val="16"/>
      <w:szCs w:val="16"/>
    </w:rPr>
  </w:style>
  <w:style w:type="paragraph" w:styleId="ListParagraph">
    <w:name w:val="List Paragraph"/>
    <w:basedOn w:val="Normal"/>
    <w:uiPriority w:val="34"/>
    <w:qFormat/>
    <w:rsid w:val="00C03FB4"/>
    <w:pPr>
      <w:spacing w:after="200" w:line="276" w:lineRule="auto"/>
      <w:ind w:left="720"/>
      <w:contextualSpacing/>
    </w:pPr>
    <w:rPr>
      <w:rFonts w:ascii="Calibri" w:hAnsi="Calibri"/>
      <w:sz w:val="22"/>
      <w:szCs w:val="22"/>
    </w:rPr>
  </w:style>
  <w:style w:type="paragraph" w:styleId="BodyText2">
    <w:name w:val="Body Text 2"/>
    <w:basedOn w:val="Normal"/>
    <w:link w:val="BodyText2Char"/>
    <w:rsid w:val="00B6274B"/>
    <w:pPr>
      <w:spacing w:after="120" w:line="480" w:lineRule="auto"/>
    </w:pPr>
  </w:style>
  <w:style w:type="character" w:customStyle="1" w:styleId="BodyText2Char">
    <w:name w:val="Body Text 2 Char"/>
    <w:basedOn w:val="DefaultParagraphFont"/>
    <w:link w:val="BodyText2"/>
    <w:rsid w:val="00B6274B"/>
    <w:rPr>
      <w:sz w:val="24"/>
      <w:szCs w:val="24"/>
    </w:rPr>
  </w:style>
  <w:style w:type="paragraph" w:styleId="Revision">
    <w:name w:val="Revision"/>
    <w:hidden/>
    <w:uiPriority w:val="99"/>
    <w:semiHidden/>
    <w:rsid w:val="00193B31"/>
    <w:rPr>
      <w:sz w:val="24"/>
      <w:szCs w:val="24"/>
    </w:rPr>
  </w:style>
  <w:style w:type="paragraph" w:styleId="Footer">
    <w:name w:val="footer"/>
    <w:basedOn w:val="Normal"/>
    <w:link w:val="FooterChar"/>
    <w:uiPriority w:val="99"/>
    <w:unhideWhenUsed/>
    <w:rsid w:val="00A142ED"/>
    <w:pPr>
      <w:tabs>
        <w:tab w:val="center" w:pos="4680"/>
        <w:tab w:val="right" w:pos="9360"/>
      </w:tabs>
    </w:pPr>
  </w:style>
  <w:style w:type="character" w:customStyle="1" w:styleId="FooterChar">
    <w:name w:val="Footer Char"/>
    <w:basedOn w:val="DefaultParagraphFont"/>
    <w:link w:val="Footer"/>
    <w:uiPriority w:val="99"/>
    <w:rsid w:val="00A142ED"/>
    <w:rPr>
      <w:sz w:val="24"/>
      <w:szCs w:val="24"/>
    </w:rPr>
  </w:style>
  <w:style w:type="character" w:styleId="Hyperlink">
    <w:name w:val="Hyperlink"/>
    <w:basedOn w:val="DefaultParagraphFont"/>
    <w:uiPriority w:val="99"/>
    <w:semiHidden/>
    <w:unhideWhenUsed/>
    <w:rsid w:val="00A142ED"/>
    <w:rPr>
      <w:color w:val="0563C1"/>
      <w:u w:val="single"/>
    </w:rPr>
  </w:style>
  <w:style w:type="character" w:styleId="Emphasis">
    <w:name w:val="Emphasis"/>
    <w:basedOn w:val="DefaultParagraphFont"/>
    <w:uiPriority w:val="20"/>
    <w:qFormat/>
    <w:rsid w:val="00A142ED"/>
    <w:rPr>
      <w:i/>
      <w:iCs/>
    </w:rPr>
  </w:style>
  <w:style w:type="paragraph" w:customStyle="1" w:styleId="Body">
    <w:name w:val="Body"/>
    <w:rsid w:val="007F056B"/>
    <w:pPr>
      <w:pBdr>
        <w:top w:val="nil"/>
        <w:left w:val="nil"/>
        <w:bottom w:val="nil"/>
        <w:right w:val="nil"/>
        <w:between w:val="nil"/>
        <w:bar w:val="nil"/>
      </w:pBdr>
      <w:spacing w:before="140"/>
    </w:pPr>
    <w:rPr>
      <w:rFonts w:ascii="Helvetica Neue" w:eastAsia="Arial Unicode MS" w:hAnsi="Helvetica Neue" w:cs="Arial Unicode MS"/>
      <w:color w:val="000000"/>
      <w:sz w:val="22"/>
      <w:szCs w:val="22"/>
      <w:bdr w:val="nil"/>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721841">
      <w:bodyDiv w:val="1"/>
      <w:marLeft w:val="0"/>
      <w:marRight w:val="0"/>
      <w:marTop w:val="0"/>
      <w:marBottom w:val="0"/>
      <w:divBdr>
        <w:top w:val="none" w:sz="0" w:space="0" w:color="auto"/>
        <w:left w:val="none" w:sz="0" w:space="0" w:color="auto"/>
        <w:bottom w:val="none" w:sz="0" w:space="0" w:color="auto"/>
        <w:right w:val="none" w:sz="0" w:space="0" w:color="auto"/>
      </w:divBdr>
    </w:div>
    <w:div w:id="85619849">
      <w:bodyDiv w:val="1"/>
      <w:marLeft w:val="0"/>
      <w:marRight w:val="0"/>
      <w:marTop w:val="0"/>
      <w:marBottom w:val="0"/>
      <w:divBdr>
        <w:top w:val="none" w:sz="0" w:space="0" w:color="auto"/>
        <w:left w:val="none" w:sz="0" w:space="0" w:color="auto"/>
        <w:bottom w:val="none" w:sz="0" w:space="0" w:color="auto"/>
        <w:right w:val="none" w:sz="0" w:space="0" w:color="auto"/>
      </w:divBdr>
    </w:div>
    <w:div w:id="110050674">
      <w:bodyDiv w:val="1"/>
      <w:marLeft w:val="0"/>
      <w:marRight w:val="0"/>
      <w:marTop w:val="0"/>
      <w:marBottom w:val="0"/>
      <w:divBdr>
        <w:top w:val="none" w:sz="0" w:space="0" w:color="auto"/>
        <w:left w:val="none" w:sz="0" w:space="0" w:color="auto"/>
        <w:bottom w:val="none" w:sz="0" w:space="0" w:color="auto"/>
        <w:right w:val="none" w:sz="0" w:space="0" w:color="auto"/>
      </w:divBdr>
    </w:div>
    <w:div w:id="125897280">
      <w:bodyDiv w:val="1"/>
      <w:marLeft w:val="0"/>
      <w:marRight w:val="0"/>
      <w:marTop w:val="0"/>
      <w:marBottom w:val="0"/>
      <w:divBdr>
        <w:top w:val="none" w:sz="0" w:space="0" w:color="auto"/>
        <w:left w:val="none" w:sz="0" w:space="0" w:color="auto"/>
        <w:bottom w:val="none" w:sz="0" w:space="0" w:color="auto"/>
        <w:right w:val="none" w:sz="0" w:space="0" w:color="auto"/>
      </w:divBdr>
    </w:div>
    <w:div w:id="157187799">
      <w:bodyDiv w:val="1"/>
      <w:marLeft w:val="0"/>
      <w:marRight w:val="0"/>
      <w:marTop w:val="0"/>
      <w:marBottom w:val="0"/>
      <w:divBdr>
        <w:top w:val="none" w:sz="0" w:space="0" w:color="auto"/>
        <w:left w:val="none" w:sz="0" w:space="0" w:color="auto"/>
        <w:bottom w:val="none" w:sz="0" w:space="0" w:color="auto"/>
        <w:right w:val="none" w:sz="0" w:space="0" w:color="auto"/>
      </w:divBdr>
    </w:div>
    <w:div w:id="179394023">
      <w:bodyDiv w:val="1"/>
      <w:marLeft w:val="0"/>
      <w:marRight w:val="0"/>
      <w:marTop w:val="0"/>
      <w:marBottom w:val="0"/>
      <w:divBdr>
        <w:top w:val="none" w:sz="0" w:space="0" w:color="auto"/>
        <w:left w:val="none" w:sz="0" w:space="0" w:color="auto"/>
        <w:bottom w:val="none" w:sz="0" w:space="0" w:color="auto"/>
        <w:right w:val="none" w:sz="0" w:space="0" w:color="auto"/>
      </w:divBdr>
    </w:div>
    <w:div w:id="200017497">
      <w:bodyDiv w:val="1"/>
      <w:marLeft w:val="0"/>
      <w:marRight w:val="0"/>
      <w:marTop w:val="0"/>
      <w:marBottom w:val="0"/>
      <w:divBdr>
        <w:top w:val="none" w:sz="0" w:space="0" w:color="auto"/>
        <w:left w:val="none" w:sz="0" w:space="0" w:color="auto"/>
        <w:bottom w:val="none" w:sz="0" w:space="0" w:color="auto"/>
        <w:right w:val="none" w:sz="0" w:space="0" w:color="auto"/>
      </w:divBdr>
    </w:div>
    <w:div w:id="240722578">
      <w:bodyDiv w:val="1"/>
      <w:marLeft w:val="0"/>
      <w:marRight w:val="0"/>
      <w:marTop w:val="0"/>
      <w:marBottom w:val="0"/>
      <w:divBdr>
        <w:top w:val="none" w:sz="0" w:space="0" w:color="auto"/>
        <w:left w:val="none" w:sz="0" w:space="0" w:color="auto"/>
        <w:bottom w:val="none" w:sz="0" w:space="0" w:color="auto"/>
        <w:right w:val="none" w:sz="0" w:space="0" w:color="auto"/>
      </w:divBdr>
    </w:div>
    <w:div w:id="435753098">
      <w:bodyDiv w:val="1"/>
      <w:marLeft w:val="0"/>
      <w:marRight w:val="0"/>
      <w:marTop w:val="0"/>
      <w:marBottom w:val="0"/>
      <w:divBdr>
        <w:top w:val="none" w:sz="0" w:space="0" w:color="auto"/>
        <w:left w:val="none" w:sz="0" w:space="0" w:color="auto"/>
        <w:bottom w:val="none" w:sz="0" w:space="0" w:color="auto"/>
        <w:right w:val="none" w:sz="0" w:space="0" w:color="auto"/>
      </w:divBdr>
    </w:div>
    <w:div w:id="468280885">
      <w:bodyDiv w:val="1"/>
      <w:marLeft w:val="0"/>
      <w:marRight w:val="0"/>
      <w:marTop w:val="0"/>
      <w:marBottom w:val="0"/>
      <w:divBdr>
        <w:top w:val="none" w:sz="0" w:space="0" w:color="auto"/>
        <w:left w:val="none" w:sz="0" w:space="0" w:color="auto"/>
        <w:bottom w:val="none" w:sz="0" w:space="0" w:color="auto"/>
        <w:right w:val="none" w:sz="0" w:space="0" w:color="auto"/>
      </w:divBdr>
    </w:div>
    <w:div w:id="582296555">
      <w:bodyDiv w:val="1"/>
      <w:marLeft w:val="0"/>
      <w:marRight w:val="0"/>
      <w:marTop w:val="0"/>
      <w:marBottom w:val="0"/>
      <w:divBdr>
        <w:top w:val="none" w:sz="0" w:space="0" w:color="auto"/>
        <w:left w:val="none" w:sz="0" w:space="0" w:color="auto"/>
        <w:bottom w:val="none" w:sz="0" w:space="0" w:color="auto"/>
        <w:right w:val="none" w:sz="0" w:space="0" w:color="auto"/>
      </w:divBdr>
    </w:div>
    <w:div w:id="665476286">
      <w:bodyDiv w:val="1"/>
      <w:marLeft w:val="0"/>
      <w:marRight w:val="0"/>
      <w:marTop w:val="0"/>
      <w:marBottom w:val="0"/>
      <w:divBdr>
        <w:top w:val="none" w:sz="0" w:space="0" w:color="auto"/>
        <w:left w:val="none" w:sz="0" w:space="0" w:color="auto"/>
        <w:bottom w:val="none" w:sz="0" w:space="0" w:color="auto"/>
        <w:right w:val="none" w:sz="0" w:space="0" w:color="auto"/>
      </w:divBdr>
    </w:div>
    <w:div w:id="775444050">
      <w:bodyDiv w:val="1"/>
      <w:marLeft w:val="0"/>
      <w:marRight w:val="0"/>
      <w:marTop w:val="0"/>
      <w:marBottom w:val="0"/>
      <w:divBdr>
        <w:top w:val="none" w:sz="0" w:space="0" w:color="auto"/>
        <w:left w:val="none" w:sz="0" w:space="0" w:color="auto"/>
        <w:bottom w:val="none" w:sz="0" w:space="0" w:color="auto"/>
        <w:right w:val="none" w:sz="0" w:space="0" w:color="auto"/>
      </w:divBdr>
    </w:div>
    <w:div w:id="782696665">
      <w:bodyDiv w:val="1"/>
      <w:marLeft w:val="0"/>
      <w:marRight w:val="0"/>
      <w:marTop w:val="0"/>
      <w:marBottom w:val="0"/>
      <w:divBdr>
        <w:top w:val="none" w:sz="0" w:space="0" w:color="auto"/>
        <w:left w:val="none" w:sz="0" w:space="0" w:color="auto"/>
        <w:bottom w:val="none" w:sz="0" w:space="0" w:color="auto"/>
        <w:right w:val="none" w:sz="0" w:space="0" w:color="auto"/>
      </w:divBdr>
    </w:div>
    <w:div w:id="951475910">
      <w:bodyDiv w:val="1"/>
      <w:marLeft w:val="0"/>
      <w:marRight w:val="0"/>
      <w:marTop w:val="0"/>
      <w:marBottom w:val="0"/>
      <w:divBdr>
        <w:top w:val="none" w:sz="0" w:space="0" w:color="auto"/>
        <w:left w:val="none" w:sz="0" w:space="0" w:color="auto"/>
        <w:bottom w:val="none" w:sz="0" w:space="0" w:color="auto"/>
        <w:right w:val="none" w:sz="0" w:space="0" w:color="auto"/>
      </w:divBdr>
    </w:div>
    <w:div w:id="954798305">
      <w:bodyDiv w:val="1"/>
      <w:marLeft w:val="0"/>
      <w:marRight w:val="0"/>
      <w:marTop w:val="0"/>
      <w:marBottom w:val="0"/>
      <w:divBdr>
        <w:top w:val="none" w:sz="0" w:space="0" w:color="auto"/>
        <w:left w:val="none" w:sz="0" w:space="0" w:color="auto"/>
        <w:bottom w:val="none" w:sz="0" w:space="0" w:color="auto"/>
        <w:right w:val="none" w:sz="0" w:space="0" w:color="auto"/>
      </w:divBdr>
    </w:div>
    <w:div w:id="1014500770">
      <w:bodyDiv w:val="1"/>
      <w:marLeft w:val="0"/>
      <w:marRight w:val="0"/>
      <w:marTop w:val="0"/>
      <w:marBottom w:val="0"/>
      <w:divBdr>
        <w:top w:val="none" w:sz="0" w:space="0" w:color="auto"/>
        <w:left w:val="none" w:sz="0" w:space="0" w:color="auto"/>
        <w:bottom w:val="none" w:sz="0" w:space="0" w:color="auto"/>
        <w:right w:val="none" w:sz="0" w:space="0" w:color="auto"/>
      </w:divBdr>
    </w:div>
    <w:div w:id="1091438804">
      <w:bodyDiv w:val="1"/>
      <w:marLeft w:val="0"/>
      <w:marRight w:val="0"/>
      <w:marTop w:val="0"/>
      <w:marBottom w:val="0"/>
      <w:divBdr>
        <w:top w:val="none" w:sz="0" w:space="0" w:color="auto"/>
        <w:left w:val="none" w:sz="0" w:space="0" w:color="auto"/>
        <w:bottom w:val="none" w:sz="0" w:space="0" w:color="auto"/>
        <w:right w:val="none" w:sz="0" w:space="0" w:color="auto"/>
      </w:divBdr>
    </w:div>
    <w:div w:id="1159155710">
      <w:bodyDiv w:val="1"/>
      <w:marLeft w:val="0"/>
      <w:marRight w:val="0"/>
      <w:marTop w:val="0"/>
      <w:marBottom w:val="0"/>
      <w:divBdr>
        <w:top w:val="none" w:sz="0" w:space="0" w:color="auto"/>
        <w:left w:val="none" w:sz="0" w:space="0" w:color="auto"/>
        <w:bottom w:val="none" w:sz="0" w:space="0" w:color="auto"/>
        <w:right w:val="none" w:sz="0" w:space="0" w:color="auto"/>
      </w:divBdr>
    </w:div>
    <w:div w:id="1202093802">
      <w:bodyDiv w:val="1"/>
      <w:marLeft w:val="0"/>
      <w:marRight w:val="0"/>
      <w:marTop w:val="0"/>
      <w:marBottom w:val="0"/>
      <w:divBdr>
        <w:top w:val="none" w:sz="0" w:space="0" w:color="auto"/>
        <w:left w:val="none" w:sz="0" w:space="0" w:color="auto"/>
        <w:bottom w:val="none" w:sz="0" w:space="0" w:color="auto"/>
        <w:right w:val="none" w:sz="0" w:space="0" w:color="auto"/>
      </w:divBdr>
    </w:div>
    <w:div w:id="1443382456">
      <w:bodyDiv w:val="1"/>
      <w:marLeft w:val="0"/>
      <w:marRight w:val="0"/>
      <w:marTop w:val="0"/>
      <w:marBottom w:val="0"/>
      <w:divBdr>
        <w:top w:val="none" w:sz="0" w:space="0" w:color="auto"/>
        <w:left w:val="none" w:sz="0" w:space="0" w:color="auto"/>
        <w:bottom w:val="none" w:sz="0" w:space="0" w:color="auto"/>
        <w:right w:val="none" w:sz="0" w:space="0" w:color="auto"/>
      </w:divBdr>
    </w:div>
    <w:div w:id="1538808079">
      <w:bodyDiv w:val="1"/>
      <w:marLeft w:val="0"/>
      <w:marRight w:val="0"/>
      <w:marTop w:val="0"/>
      <w:marBottom w:val="0"/>
      <w:divBdr>
        <w:top w:val="none" w:sz="0" w:space="0" w:color="auto"/>
        <w:left w:val="none" w:sz="0" w:space="0" w:color="auto"/>
        <w:bottom w:val="none" w:sz="0" w:space="0" w:color="auto"/>
        <w:right w:val="none" w:sz="0" w:space="0" w:color="auto"/>
      </w:divBdr>
    </w:div>
    <w:div w:id="1557400475">
      <w:bodyDiv w:val="1"/>
      <w:marLeft w:val="0"/>
      <w:marRight w:val="0"/>
      <w:marTop w:val="0"/>
      <w:marBottom w:val="0"/>
      <w:divBdr>
        <w:top w:val="none" w:sz="0" w:space="0" w:color="auto"/>
        <w:left w:val="none" w:sz="0" w:space="0" w:color="auto"/>
        <w:bottom w:val="none" w:sz="0" w:space="0" w:color="auto"/>
        <w:right w:val="none" w:sz="0" w:space="0" w:color="auto"/>
      </w:divBdr>
    </w:div>
    <w:div w:id="1653215029">
      <w:bodyDiv w:val="1"/>
      <w:marLeft w:val="0"/>
      <w:marRight w:val="0"/>
      <w:marTop w:val="0"/>
      <w:marBottom w:val="0"/>
      <w:divBdr>
        <w:top w:val="none" w:sz="0" w:space="0" w:color="auto"/>
        <w:left w:val="none" w:sz="0" w:space="0" w:color="auto"/>
        <w:bottom w:val="none" w:sz="0" w:space="0" w:color="auto"/>
        <w:right w:val="none" w:sz="0" w:space="0" w:color="auto"/>
      </w:divBdr>
    </w:div>
    <w:div w:id="1699966945">
      <w:bodyDiv w:val="1"/>
      <w:marLeft w:val="0"/>
      <w:marRight w:val="0"/>
      <w:marTop w:val="0"/>
      <w:marBottom w:val="0"/>
      <w:divBdr>
        <w:top w:val="none" w:sz="0" w:space="0" w:color="auto"/>
        <w:left w:val="none" w:sz="0" w:space="0" w:color="auto"/>
        <w:bottom w:val="none" w:sz="0" w:space="0" w:color="auto"/>
        <w:right w:val="none" w:sz="0" w:space="0" w:color="auto"/>
      </w:divBdr>
    </w:div>
    <w:div w:id="1814636199">
      <w:bodyDiv w:val="1"/>
      <w:marLeft w:val="0"/>
      <w:marRight w:val="0"/>
      <w:marTop w:val="0"/>
      <w:marBottom w:val="0"/>
      <w:divBdr>
        <w:top w:val="none" w:sz="0" w:space="0" w:color="auto"/>
        <w:left w:val="none" w:sz="0" w:space="0" w:color="auto"/>
        <w:bottom w:val="none" w:sz="0" w:space="0" w:color="auto"/>
        <w:right w:val="none" w:sz="0" w:space="0" w:color="auto"/>
      </w:divBdr>
    </w:div>
    <w:div w:id="1854488143">
      <w:bodyDiv w:val="1"/>
      <w:marLeft w:val="0"/>
      <w:marRight w:val="0"/>
      <w:marTop w:val="0"/>
      <w:marBottom w:val="0"/>
      <w:divBdr>
        <w:top w:val="none" w:sz="0" w:space="0" w:color="auto"/>
        <w:left w:val="none" w:sz="0" w:space="0" w:color="auto"/>
        <w:bottom w:val="none" w:sz="0" w:space="0" w:color="auto"/>
        <w:right w:val="none" w:sz="0" w:space="0" w:color="auto"/>
      </w:divBdr>
    </w:div>
    <w:div w:id="1881355499">
      <w:bodyDiv w:val="1"/>
      <w:marLeft w:val="0"/>
      <w:marRight w:val="0"/>
      <w:marTop w:val="0"/>
      <w:marBottom w:val="0"/>
      <w:divBdr>
        <w:top w:val="none" w:sz="0" w:space="0" w:color="auto"/>
        <w:left w:val="none" w:sz="0" w:space="0" w:color="auto"/>
        <w:bottom w:val="none" w:sz="0" w:space="0" w:color="auto"/>
        <w:right w:val="none" w:sz="0" w:space="0" w:color="auto"/>
      </w:divBdr>
    </w:div>
    <w:div w:id="1906837592">
      <w:bodyDiv w:val="1"/>
      <w:marLeft w:val="0"/>
      <w:marRight w:val="0"/>
      <w:marTop w:val="0"/>
      <w:marBottom w:val="0"/>
      <w:divBdr>
        <w:top w:val="none" w:sz="0" w:space="0" w:color="auto"/>
        <w:left w:val="none" w:sz="0" w:space="0" w:color="auto"/>
        <w:bottom w:val="none" w:sz="0" w:space="0" w:color="auto"/>
        <w:right w:val="none" w:sz="0" w:space="0" w:color="auto"/>
      </w:divBdr>
    </w:div>
    <w:div w:id="1926764431">
      <w:bodyDiv w:val="1"/>
      <w:marLeft w:val="0"/>
      <w:marRight w:val="0"/>
      <w:marTop w:val="0"/>
      <w:marBottom w:val="0"/>
      <w:divBdr>
        <w:top w:val="none" w:sz="0" w:space="0" w:color="auto"/>
        <w:left w:val="none" w:sz="0" w:space="0" w:color="auto"/>
        <w:bottom w:val="none" w:sz="0" w:space="0" w:color="auto"/>
        <w:right w:val="none" w:sz="0" w:space="0" w:color="auto"/>
      </w:divBdr>
    </w:div>
    <w:div w:id="2131051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hyperlink" Target="https://www.acquisition.gov/content/3104-procurement-integrity" TargetMode="External"/><Relationship Id="rId1" Type="http://schemas.openxmlformats.org/officeDocument/2006/relationships/hyperlink" Target="https://www.acquisition.gov/content/2101-defini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8D9F1059001E4B9EFCB504FA21A932" ma:contentTypeVersion="1" ma:contentTypeDescription="Create a new document." ma:contentTypeScope="" ma:versionID="1df6d2be822976f1d5fbdccfae3dd92a">
  <xsd:schema xmlns:xsd="http://www.w3.org/2001/XMLSchema" xmlns:xs="http://www.w3.org/2001/XMLSchema" xmlns:p="http://schemas.microsoft.com/office/2006/metadata/properties" xmlns:ns2="4fbb16bc-57c8-4f47-bb76-39a78d09106d" targetNamespace="http://schemas.microsoft.com/office/2006/metadata/properties" ma:root="true" ma:fieldsID="4eda2c253f08664fe06c26645ed9c700" ns2:_="">
    <xsd:import namespace="4fbb16bc-57c8-4f47-bb76-39a78d09106d"/>
    <xsd:element name="properties">
      <xsd:complexType>
        <xsd:sequence>
          <xsd:element name="documentManagement">
            <xsd:complexType>
              <xsd:all>
                <xsd:element ref="ns2:General_x0020_Comme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bb16bc-57c8-4f47-bb76-39a78d09106d" elementFormDefault="qualified">
    <xsd:import namespace="http://schemas.microsoft.com/office/2006/documentManagement/types"/>
    <xsd:import namespace="http://schemas.microsoft.com/office/infopath/2007/PartnerControls"/>
    <xsd:element name="General_x0020_Comments" ma:index="8" nillable="true" ma:displayName="General Comments" ma:internalName="General_x0020_Comments">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documentManagement>
    <General_x0020_Comments xmlns="4fbb16bc-57c8-4f47-bb76-39a78d09106d" xsi:nil="true"/>
  </documentManagement>
</p:properties>
</file>

<file path=customXml/itemProps1.xml><?xml version="1.0" encoding="utf-8"?>
<ds:datastoreItem xmlns:ds="http://schemas.openxmlformats.org/officeDocument/2006/customXml" ds:itemID="{BE4866CA-7C74-4D04-8148-682DB91E31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bb16bc-57c8-4f47-bb76-39a78d0910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96D750E-6EF1-4AEC-8432-C30AA3CD67EA}">
  <ds:schemaRefs>
    <ds:schemaRef ds:uri="http://schemas.microsoft.com/sharepoint/v3/contenttype/forms"/>
  </ds:schemaRefs>
</ds:datastoreItem>
</file>

<file path=customXml/itemProps3.xml><?xml version="1.0" encoding="utf-8"?>
<ds:datastoreItem xmlns:ds="http://schemas.openxmlformats.org/officeDocument/2006/customXml" ds:itemID="{970CE6CF-74DA-4C88-ADED-62C0FDF8F11A}">
  <ds:schemaRefs>
    <ds:schemaRef ds:uri="http://schemas.openxmlformats.org/officeDocument/2006/bibliography"/>
  </ds:schemaRefs>
</ds:datastoreItem>
</file>

<file path=customXml/itemProps4.xml><?xml version="1.0" encoding="utf-8"?>
<ds:datastoreItem xmlns:ds="http://schemas.openxmlformats.org/officeDocument/2006/customXml" ds:itemID="{6CA5D5A5-2C14-4D84-A09E-61BF73F5E750}">
  <ds:schemaRefs>
    <ds:schemaRef ds:uri="http://schemas.microsoft.com/office/2006/metadata/properties"/>
    <ds:schemaRef ds:uri="4fbb16bc-57c8-4f47-bb76-39a78d09106d"/>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4</Pages>
  <Words>1367</Words>
  <Characters>7798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Dept. of Veterans Affairs</Company>
  <LinksUpToDate>false</LinksUpToDate>
  <CharactersWithSpaces>9147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Nash, Tara</dc:creator>
  <cp:lastModifiedBy>Rafael Richards</cp:lastModifiedBy>
  <cp:revision>7</cp:revision>
  <cp:lastPrinted>2024-08-28T17:56:00Z</cp:lastPrinted>
  <dcterms:created xsi:type="dcterms:W3CDTF">2024-08-28T17:56:00Z</dcterms:created>
  <dcterms:modified xsi:type="dcterms:W3CDTF">2024-09-02T12:48:00Z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0x010100198D9F1059001E4B9EFCB504FA21A932</vt:lpwstr>
  </property>
</Properties>
</file>