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i-yun-lai"/>
    <w:p>
      <w:pPr>
        <w:pStyle w:val="Heading1"/>
      </w:pPr>
      <w:r>
        <w:t xml:space="preserve">Wei-Yun Lai</w:t>
      </w:r>
    </w:p>
    <w:p>
      <w:pPr>
        <w:pStyle w:val="FirstParagraph"/>
      </w:pPr>
      <w:r>
        <w:rPr>
          <w:bCs/>
          <w:b/>
        </w:rPr>
        <w:t xml:space="preserve">Affiliation:</w:t>
      </w:r>
      <w:r>
        <w:t xml:space="preserve"> </w:t>
      </w:r>
      <w:r>
        <w:t xml:space="preserve">Institute for Genomic Diversity, Cornell University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wl748@cornell.edu</w:t>
      </w:r>
      <w:r>
        <w:br/>
      </w:r>
      <w:r>
        <w:rPr>
          <w:bCs/>
          <w:b/>
        </w:rP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0000-0002-5101-8695</w:t>
        </w:r>
      </w:hyperlink>
    </w:p>
    <w:bookmarkEnd w:id="21"/>
    <w:bookmarkStart w:id="22" w:name="positions-education"/>
    <w:p>
      <w:pPr>
        <w:pStyle w:val="Heading1"/>
      </w:pPr>
      <w:r>
        <w:t xml:space="preserve">Positions &amp; Education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6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/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2023–present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Postdoctoral research fellow, Institute for Genomic Diversity, Cornell University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Edward Buckler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Ph.D., Vienna Graduate School of Population Genetics, Univ. of Veterinary Medicine Vienna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Christian Schlötterer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Assistant, Institute of Information Science, Academia Sinica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Huai-Kuang Tsai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M.Sc., Department of Agronomy, National Taiwan University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Li-Yu Liu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2011–2015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B.Sc., Department of Agronomy, National Chung Hsing University</w:t>
            </w:r>
          </w:p>
        </w:tc>
      </w:tr>
    </w:tbl>
    <w:bookmarkEnd w:id="22"/>
    <w:bookmarkStart w:id="25" w:name="publications"/>
    <w:p>
      <w:pPr>
        <w:pStyle w:val="Heading1"/>
      </w:pPr>
      <w:r>
        <w:t xml:space="preserve">Publications</w:t>
      </w:r>
    </w:p>
    <w:bookmarkStart w:id="23" w:name="peer-reviewed-publications"/>
    <w:p>
      <w:pPr>
        <w:pStyle w:val="Heading2"/>
      </w:pPr>
      <w:r>
        <w:t xml:space="preserve">Peer-reviewed Publications</w:t>
      </w:r>
    </w:p>
    <w:p>
      <w:pPr>
        <w:numPr>
          <w:ilvl w:val="0"/>
          <w:numId w:val="1001"/>
        </w:numPr>
      </w:pPr>
      <w:r>
        <w:t xml:space="preserve">Zhai, J., Gokaslan, A., Schiff, Y., Berthel, A., Liu, Z-Y.,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Miller, Z.R., Scheben, A., Stitzer, M.C., Romay, M.C., Buckler, E.S., &amp; Kuleshov, V. (2025).</w:t>
      </w:r>
      <w:r>
        <w:t xml:space="preserve"> </w:t>
      </w:r>
      <w:r>
        <w:rPr>
          <w:bCs/>
          <w:b/>
        </w:rPr>
        <w:t xml:space="preserve">Cross-species modeling of plant genomes at single-nucleotide resolution using a pretrained DNA language model</w:t>
      </w:r>
      <w:r>
        <w:t xml:space="preserve">.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Cs/>
          <w:i/>
        </w:rPr>
        <w:t xml:space="preserve">122</w:t>
      </w:r>
      <w:r>
        <w:t xml:space="preserve">(24). https://doi.org/10.1073/pnas.2421738122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Lai, W-Y.</w:t>
      </w:r>
      <w:r>
        <w:t xml:space="preserve">, Hsu, S-K., Futschik, A., &amp; Schlötterer, C. (2025).</w:t>
      </w:r>
      <w:r>
        <w:t xml:space="preserve"> </w:t>
      </w:r>
      <w:r>
        <w:rPr>
          <w:bCs/>
          <w:b/>
        </w:rPr>
        <w:t xml:space="preserve">Pleiotropy increases parallel selection signatures during adaptation from standing genetic variation</w:t>
      </w:r>
      <w:r>
        <w:t xml:space="preserve">.</w:t>
      </w:r>
      <w:r>
        <w:t xml:space="preserve"> </w:t>
      </w:r>
      <w:r>
        <w:rPr>
          <w:iCs/>
          <w:i/>
        </w:rPr>
        <w:t xml:space="preserve">eLife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. https://doi.org/10.7554/elife.102321.3</w:t>
      </w:r>
    </w:p>
    <w:p>
      <w:pPr>
        <w:numPr>
          <w:ilvl w:val="0"/>
          <w:numId w:val="1001"/>
        </w:numPr>
      </w:pPr>
      <w:r>
        <w:t xml:space="preserve">Hsu, S-K.,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Novak, J., Lehner, F., Jakšić, A.M., Versace, E., &amp; Schlötterer, C. (2024).</w:t>
      </w:r>
      <w:r>
        <w:t xml:space="preserve"> </w:t>
      </w:r>
      <w:r>
        <w:rPr>
          <w:bCs/>
          <w:b/>
        </w:rPr>
        <w:t xml:space="preserve">Reproductive isolation arises during laboratory adaptation to a novel hot environment</w:t>
      </w:r>
      <w:r>
        <w:t xml:space="preserve">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(1). https://doi.org/10.1186/s13059-024-03285-9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Lai, W-Y.</w:t>
      </w:r>
      <w:r>
        <w:t xml:space="preserve">, Nolte, V., Jakšić, A.M., &amp; Schlötterer, C. (2024).</w:t>
      </w:r>
      <w:r>
        <w:t xml:space="preserve"> </w:t>
      </w:r>
      <w:r>
        <w:rPr>
          <w:bCs/>
          <w:b/>
        </w:rPr>
        <w:t xml:space="preserve">Evolution of Phenotypic Variance Provides Insights into the Genetic Basis of Adaptation</w:t>
      </w:r>
      <w:r>
        <w:t xml:space="preserve">.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,</w:t>
      </w:r>
      <w:r>
        <w:t xml:space="preserve"> </w:t>
      </w:r>
      <w:r>
        <w:rPr>
          <w:iCs/>
          <w:i/>
        </w:rPr>
        <w:t xml:space="preserve">16</w:t>
      </w:r>
      <w:r>
        <w:t xml:space="preserve">(4). https://doi.org/10.1093/gbe/evae077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Lai, W-Y.</w:t>
      </w:r>
      <w:r>
        <w:t xml:space="preserve">, Otte, K.A., &amp; Schlötterer, C. (2023).</w:t>
      </w:r>
      <w:r>
        <w:t xml:space="preserve"> </w:t>
      </w:r>
      <w:r>
        <w:rPr>
          <w:bCs/>
          <w:b/>
        </w:rPr>
        <w:t xml:space="preserve">Evolution of Metabolome and Transcriptome Supports a Hierarchical Organization of Adaptive Traits</w:t>
      </w:r>
      <w:r>
        <w:t xml:space="preserve">.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(6). https://doi.org/10.1093/gbe/evad098</w:t>
      </w:r>
    </w:p>
    <w:p>
      <w:pPr>
        <w:numPr>
          <w:ilvl w:val="0"/>
          <w:numId w:val="1001"/>
        </w:numPr>
      </w:pPr>
      <w:r>
        <w:t xml:space="preserve">Christodoulaki, E., Nolte, V.,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&amp; Schlötterer, C. (2022).</w:t>
      </w:r>
      <w:r>
        <w:t xml:space="preserve"> </w:t>
      </w:r>
      <w:r>
        <w:rPr>
          <w:bCs/>
          <w:b/>
        </w:rPr>
        <w:t xml:space="preserve">Natural variation in Drosophila shows weak pleiotropic effects</w:t>
      </w:r>
      <w:r>
        <w:t xml:space="preserve">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,</w:t>
      </w:r>
      <w:r>
        <w:t xml:space="preserve"> </w:t>
      </w:r>
      <w:r>
        <w:rPr>
          <w:iCs/>
          <w:i/>
        </w:rPr>
        <w:t xml:space="preserve">23</w:t>
      </w:r>
      <w:r>
        <w:t xml:space="preserve">(1). https://doi.org/10.1186/s13059-022-02680-4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Lai, W-Y.</w:t>
      </w:r>
      <w:r>
        <w:t xml:space="preserve">, &amp; Schlötterer, C. (2021).</w:t>
      </w:r>
      <w:r>
        <w:t xml:space="preserve"> </w:t>
      </w:r>
      <w:r>
        <w:rPr>
          <w:bCs/>
          <w:b/>
        </w:rPr>
        <w:t xml:space="preserve">Evolution of phenotypic variance in response to a novel hot environment</w:t>
      </w:r>
      <w:r>
        <w:t xml:space="preserve">.</w:t>
      </w:r>
      <w:r>
        <w:t xml:space="preserve"> </w:t>
      </w:r>
      <w:r>
        <w:rPr>
          <w:iCs/>
          <w:i/>
        </w:rPr>
        <w:t xml:space="preserve">Molecular Ecology</w:t>
      </w:r>
      <w:r>
        <w:t xml:space="preserve">,</w:t>
      </w:r>
      <w:r>
        <w:t xml:space="preserve"> </w:t>
      </w:r>
      <w:r>
        <w:rPr>
          <w:iCs/>
          <w:i/>
        </w:rPr>
        <w:t xml:space="preserve">31</w:t>
      </w:r>
      <w:r>
        <w:t xml:space="preserve">(3), 934-945. https://doi.org/10.1111/mec.16274</w:t>
      </w:r>
    </w:p>
    <w:p>
      <w:pPr>
        <w:numPr>
          <w:ilvl w:val="0"/>
          <w:numId w:val="1001"/>
        </w:numPr>
      </w:pPr>
      <w:r>
        <w:t xml:space="preserve">Huang, J-H., Liao, Y-R., Lin, T-C., Tsai, C-H.,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Chou, Y-K., Leu, J-Y., Tsai, H-K., &amp; Kao, C-F. (2021).</w:t>
      </w:r>
      <w:r>
        <w:t xml:space="preserve"> </w:t>
      </w:r>
      <w:r>
        <w:rPr>
          <w:bCs/>
          <w:b/>
        </w:rPr>
        <w:t xml:space="preserve">iTARGEX analysis of yeast deletome reveals novel regulators of transcriptional buffering in S phase and protein turnover</w:t>
      </w:r>
      <w:r>
        <w:t xml:space="preserve">.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,</w:t>
      </w:r>
      <w:r>
        <w:t xml:space="preserve"> </w:t>
      </w:r>
      <w:r>
        <w:rPr>
          <w:iCs/>
          <w:i/>
        </w:rPr>
        <w:t xml:space="preserve">49</w:t>
      </w:r>
      <w:r>
        <w:t xml:space="preserve">(13), 7318-7329. https://doi.org/10.1093/nar/gkab555</w:t>
      </w:r>
    </w:p>
    <w:bookmarkEnd w:id="23"/>
    <w:bookmarkStart w:id="24" w:name="preprints"/>
    <w:p>
      <w:pPr>
        <w:pStyle w:val="Heading2"/>
      </w:pPr>
      <w:r>
        <w:t xml:space="preserve">Preprints</w:t>
      </w:r>
    </w:p>
    <w:p>
      <w:pPr>
        <w:numPr>
          <w:ilvl w:val="0"/>
          <w:numId w:val="1002"/>
        </w:numPr>
      </w:pPr>
      <w:r>
        <w:t xml:space="preserve">Hsu, S-K., Schulz, A.J., Hale, C.O., Costa-Neto, G., Miller, Z.R., Stitzer, M.C., Wrightsman, T., Zhai, J.,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Dawson, H.D., &amp;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(2026).</w:t>
      </w:r>
      <w:r>
        <w:t xml:space="preserve"> </w:t>
      </w:r>
      <w:r>
        <w:rPr>
          <w:bCs/>
          <w:b/>
        </w:rPr>
        <w:t xml:space="preserve">Convergent genome- and gene-level constraints shape repeated environmental adaptation in grasses</w:t>
      </w:r>
      <w:r>
        <w:t xml:space="preserve">.</w:t>
      </w:r>
      <w:r>
        <w:t xml:space="preserve"> </w:t>
      </w:r>
      <w:r>
        <w:rPr>
          <w:iCs/>
          <w:i/>
        </w:rPr>
        <w:t xml:space="preserve">bioRxiv.</w:t>
      </w:r>
      <w:r>
        <w:t xml:space="preserve"> </w:t>
      </w:r>
      <w:r>
        <w:t xml:space="preserve">https://doi.org/10.64898/2026.06.01.729361</w:t>
      </w:r>
    </w:p>
    <w:p>
      <w:pPr>
        <w:numPr>
          <w:ilvl w:val="0"/>
          <w:numId w:val="1002"/>
        </w:numPr>
      </w:pPr>
      <w:r>
        <w:t xml:space="preserve">Epstein, R., Wheeler, J., Hubisz, M., Sun, Q., Bukowski, R., Zhai, J.,</w:t>
      </w:r>
      <w:r>
        <w:t xml:space="preserve"> </w:t>
      </w:r>
      <w:r>
        <w:rPr>
          <w:bCs/>
          <w:b/>
        </w:rPr>
        <w:t xml:space="preserve">Lai, W-Y.</w:t>
      </w:r>
      <w:r>
        <w:t xml:space="preserve">, Buckler, E., &amp; Pawlowski, W.P. (2024).</w:t>
      </w:r>
      <w:r>
        <w:t xml:space="preserve"> </w:t>
      </w:r>
      <w:r>
        <w:rPr>
          <w:bCs/>
          <w:b/>
        </w:rPr>
        <w:t xml:space="preserve">The maize recombination landscape evolved during domestication</w:t>
      </w:r>
      <w:r>
        <w:t xml:space="preserve">.</w:t>
      </w:r>
      <w:r>
        <w:t xml:space="preserve"> </w:t>
      </w:r>
      <w:r>
        <w:rPr>
          <w:iCs/>
          <w:i/>
        </w:rPr>
        <w:t xml:space="preserve">bioRxiv.</w:t>
      </w:r>
      <w:r>
        <w:t xml:space="preserve"> </w:t>
      </w:r>
      <w:r>
        <w:t xml:space="preserve">https://doi.org/10.1101/2024.11.04.621928</w:t>
      </w:r>
    </w:p>
    <w:bookmarkEnd w:id="24"/>
    <w:bookmarkEnd w:id="25"/>
    <w:bookmarkStart w:id="26" w:name="presentations"/>
    <w:p>
      <w:pPr>
        <w:pStyle w:val="Heading1"/>
      </w:pPr>
      <w:r>
        <w:t xml:space="preserve">Presentations</w:t>
      </w:r>
    </w:p>
    <w:p>
      <w:pPr>
        <w:pStyle w:val="FirstParagraph"/>
      </w:pPr>
      <w:r>
        <w:t xml:space="preserve">2026</w:t>
      </w:r>
      <w:r>
        <w:t xml:space="preserve"> </w:t>
      </w:r>
      <w:r>
        <w:rPr>
          <w:bCs/>
          <w:b/>
        </w:rPr>
        <w:t xml:space="preserve">Pan-Genomics and GWAS Unveils the importance of ancient whole genome duplication for maize environmental adaptation.</w:t>
      </w:r>
      <w:r>
        <w:t xml:space="preserve"> </w:t>
      </w:r>
      <w:r>
        <w:rPr>
          <w:iCs/>
          <w:i/>
        </w:rPr>
        <w:t xml:space="preserve">Poster presentation with lightning talk</w:t>
      </w:r>
      <w:r>
        <w:t xml:space="preserve">, The 68th Annual Maize Genetic Meeting, February 26 - March 1, Cologne, Germany</w:t>
      </w:r>
      <w:r>
        <w:br/>
      </w:r>
      <w:r>
        <w:t xml:space="preserve">2026</w:t>
      </w:r>
      <w:r>
        <w:t xml:space="preserve"> </w:t>
      </w:r>
      <w:r>
        <w:rPr>
          <w:bCs/>
          <w:b/>
        </w:rPr>
        <w:t xml:space="preserve">Pan-Genomics and GWAS Unveils the importance of ancient whole genome duplication for maize environmental adaptation.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Corn Breeding Research Meeting, February 25 - 26, Cologne, Germany</w:t>
      </w:r>
      <w:r>
        <w:br/>
      </w:r>
      <w:r>
        <w:t xml:space="preserve">2025</w:t>
      </w:r>
      <w:r>
        <w:t xml:space="preserve"> </w:t>
      </w:r>
      <w:r>
        <w:rPr>
          <w:bCs/>
          <w:b/>
        </w:rPr>
        <w:t xml:space="preserve">Integreting AI and Pan-genome to identify adaptive variants in maize.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ACSAC11, May 19-21, Taipei, Taiwan</w:t>
      </w:r>
      <w:r>
        <w:br/>
      </w:r>
      <w:r>
        <w:t xml:space="preserve">2025</w:t>
      </w:r>
      <w:r>
        <w:t xml:space="preserve"> </w:t>
      </w:r>
      <w:r>
        <w:rPr>
          <w:bCs/>
          <w:b/>
        </w:rPr>
        <w:t xml:space="preserve">Integreting AI and Pan-genome to identify adaptive variants in maize.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67th Annual Maize Genetic Meeting, March 6-9, Union Station in St. Louis, Mo, USA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Building a practical haplotype graph from PacBio assemblies for genotype imputation and allele mining in maize.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PacBio seminar, November 12, Cornell University, NY, USA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Identify causal variants in a maize population through a DNA language model: PlantCAD.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ICQG7, July 22-26, Vienna, Austria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Mining cold-tolerance alleles in maize.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66th Annual Maize Genetic Meeting, February 29-March 3, Raleigh, NC, USA</w:t>
      </w:r>
      <w:r>
        <w:br/>
      </w:r>
      <w:r>
        <w:t xml:space="preserve">2023</w:t>
      </w:r>
      <w:r>
        <w:t xml:space="preserve"> </w:t>
      </w:r>
      <w:r>
        <w:rPr>
          <w:bCs/>
          <w:b/>
        </w:rPr>
        <w:t xml:space="preserve">The evolution of aging transcriptome in Drosophila.</w:t>
      </w:r>
      <w:r>
        <w:t xml:space="preserve"> </w:t>
      </w:r>
      <w:r>
        <w:rPr>
          <w:iCs/>
          <w:i/>
        </w:rPr>
        <w:t xml:space="preserve">Poster presentation with lightning talk</w:t>
      </w:r>
      <w:r>
        <w:t xml:space="preserve">, GLAM-Evogen 2023, August 19, Cornell University, NY, USA</w:t>
      </w:r>
      <w:r>
        <w:br/>
      </w:r>
      <w:r>
        <w:t xml:space="preserve">2022</w:t>
      </w:r>
      <w:r>
        <w:t xml:space="preserve"> </w:t>
      </w:r>
      <w:r>
        <w:rPr>
          <w:bCs/>
          <w:b/>
        </w:rPr>
        <w:t xml:space="preserve">Pleiotropy is associated with the parallel gene expression evolution during adaptation to a novel environment.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PEQG22, June 7-10, Pacific Grove, CA, USA</w:t>
      </w:r>
      <w:r>
        <w:br/>
      </w:r>
      <w:r>
        <w:t xml:space="preserve">2021</w:t>
      </w:r>
      <w:r>
        <w:t xml:space="preserve"> </w:t>
      </w:r>
      <w:r>
        <w:rPr>
          <w:bCs/>
          <w:b/>
        </w:rPr>
        <w:t xml:space="preserve">Evolution of phenotypic variance provides insights into the genetic basis of adaptation.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EvolVienna, January 4-6, Online</w:t>
      </w:r>
      <w:r>
        <w:br/>
      </w:r>
      <w:r>
        <w:t xml:space="preserve">2021</w:t>
      </w:r>
      <w:r>
        <w:t xml:space="preserve"> </w:t>
      </w:r>
      <w:r>
        <w:rPr>
          <w:bCs/>
          <w:b/>
        </w:rPr>
        <w:t xml:space="preserve">Evolution of phenotypic variance provides insights into the genetic basis of adaptation.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Popgroup54, January 4-6, Online</w:t>
      </w:r>
      <w:r>
        <w:br/>
      </w:r>
      <w:r>
        <w:t xml:space="preserve">2020</w:t>
      </w:r>
      <w:r>
        <w:t xml:space="preserve"> </w:t>
      </w:r>
      <w:r>
        <w:rPr>
          <w:bCs/>
          <w:b/>
        </w:rPr>
        <w:t xml:space="preserve">High stability of gene expression variance in Drosophila simulans populations evolving in a novel high-temperature environment.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TAGC, April 22-25, Online</w:t>
      </w:r>
      <w:r>
        <w:br/>
      </w:r>
      <w:r>
        <w:t xml:space="preserve">2017</w:t>
      </w:r>
      <w:r>
        <w:t xml:space="preserve"> </w:t>
      </w:r>
      <w:r>
        <w:rPr>
          <w:bCs/>
          <w:b/>
        </w:rPr>
        <w:t xml:space="preserve">Study of alternative splicing events in maize transcriptome under abiotic stress.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Plant and Animal Genomes 25, January 14-18, San Diego, CA, USA</w:t>
      </w:r>
    </w:p>
    <w:p>
      <w:pPr>
        <w:pStyle w:val="BodyText"/>
      </w:pPr>
      <w:r>
        <w:rPr>
          <w:iCs/>
          <w:i/>
        </w:rPr>
        <w:t xml:space="preserve">Last updated: 2026-09-01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rcid.org/0000-0002-5101-86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2-5101-86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2026-09-01T03:36:56Z</dcterms:created>
  <dcterms:modified xsi:type="dcterms:W3CDTF">2026-09-01T03:36:56Z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