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A., Aubuchon-Elder, T., Costa-Neto, G., Gelfond, A., El-Walid, M.Z., Hufford, M., Kellogg, E.A., La, T., Marand, A.P., Seetharam, A.S., Scheben, A., Stitzer, M.C., Wrightsman, T., Romay, M.C., &amp; Buckler, E.S. (2025).</w:t>
      </w:r>
      <w:r>
        <w:t xml:space="preserve"> </w:t>
      </w:r>
      <w:r>
        <w:rPr>
          <w:bCs/>
          <w:b/>
        </w:rPr>
        <w:t xml:space="preserve">Widespread turnover of a conserved cis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43</w:t>
      </w:r>
      <w:r>
        <w:t xml:space="preserve">(1). https://doi.org/10.1093/molbev/msaf324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</w:t>
      </w:r>
      <w:r>
        <w:rPr>
          <w:bCs/>
          <w:b/>
        </w:rPr>
        <w:t xml:space="preserve"> </w:t>
      </w:r>
      <w:r>
        <w:rPr>
          <w:bCs/>
          <w:b/>
        </w:rPr>
        <w:t xml:space="preserve">reelGene</w:t>
      </w:r>
      <w:r>
        <w:rPr>
          <w:bCs/>
          <w:b/>
        </w:rPr>
        <w:t xml:space="preserve"> </w:t>
      </w:r>
      <w:r>
        <w:rPr>
          <w:bCs/>
          <w:b/>
        </w:rPr>
        <w:t xml:space="preserve">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Lai, W-Y.,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Otte, K.A., Svečnjak, L., Senti, K-A.,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P-C., Tsai, Y-C.,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Ou, J-H., Liao, C-T., &amp; Tung, C-W.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Hsu, S-K.</w:t>
      </w:r>
      <w:r>
        <w:t xml:space="preserve">, Schulz, A.J., Hale, C.O., Costa-Neto, G., Miller, Z.R., Stitzer, M.C., Wrightsman, T., Zhai, J., Lai, W-Y., Dawson, H.D.,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(2026).</w:t>
      </w:r>
      <w:r>
        <w:t xml:space="preserve"> </w:t>
      </w:r>
      <w:r>
        <w:rPr>
          <w:bCs/>
          <w:b/>
        </w:rPr>
        <w:t xml:space="preserve">Convergent genome- and gene-level constraints shape repeated environmental adaptation in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https://doi.org/10.64898/2026.06.01.729361</w:t>
      </w:r>
    </w:p>
    <w:p>
      <w:pPr>
        <w:numPr>
          <w:ilvl w:val="0"/>
          <w:numId w:val="1002"/>
        </w:numPr>
      </w:pPr>
      <w:r>
        <w:t xml:space="preserve">Ojeda-Rivera, J.O., Oren, E.,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Lepak, N., La, T., Zhai, J., Stitzer, M.C., Yobi, A., Angelovici, R., Buckler, E.S., &amp; Romay, M.C. (2026).</w:t>
      </w:r>
      <w:r>
        <w:t xml:space="preserve"> </w:t>
      </w:r>
      <w:r>
        <w:rPr>
          <w:bCs/>
          <w:b/>
        </w:rPr>
        <w:t xml:space="preserve">A transcriptomic atlas of grass senescence reveals divergent underground sink networks limit nitrogen recycling in annuals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https://doi.org/10.64898/2026.05.05.723041</w:t>
      </w:r>
    </w:p>
    <w:p>
      <w:pPr>
        <w:numPr>
          <w:ilvl w:val="0"/>
          <w:numId w:val="1002"/>
        </w:numPr>
      </w:pPr>
      <w:r>
        <w:t xml:space="preserve">El-Walid, M.Z., Gault, C.M., Costich, D.E., Lepak, N.K., Budka, J.S., Stitzer, M.C., Giri, A., Rees, E., Romay, M.C., Buckler, E.S.,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Identification of Freezing Tolerance QTLs in</w:t>
      </w:r>
      <w:r>
        <w:rPr>
          <w:bCs/>
          <w:b/>
        </w:rPr>
        <w:t xml:space="preserve"> </w:t>
      </w:r>
      <w:r>
        <w:rPr>
          <w:bCs/>
          <w:b/>
        </w:rPr>
        <w:t xml:space="preserve">Tripsacum dactyloides</w:t>
      </w:r>
      <w:r>
        <w:rPr>
          <w:bCs/>
          <w:b/>
        </w:rPr>
        <w:t xml:space="preserve"> </w:t>
      </w:r>
      <w:r>
        <w:rPr>
          <w:bCs/>
          <w:b/>
        </w:rPr>
        <w:t xml:space="preserve">Using Open-Pollinated Bulk Segregant Analysis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https://doi.org/10.64898/2025.12.10.693030</w:t>
      </w:r>
    </w:p>
    <w:p>
      <w:pPr>
        <w:numPr>
          <w:ilvl w:val="0"/>
          <w:numId w:val="1002"/>
        </w:numPr>
      </w:pPr>
      <w:r>
        <w:t xml:space="preserve">Liu, Z-Y., Berthel, A., Czech, E., Marroquin, E., Stitzer, M.,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Chen, S-P., Liu, Z-Y.,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DNA foundation model for interpreting genomes across flowering plants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T.E., Angelovici, R., Hale, C.O., Brindisi, L.J.,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Gault, C.M., Hua, J., La, T., Lepak, N., Fu, Q., Buckler, E.S., &amp; Romay, M.C. (2025).</w:t>
      </w:r>
      <w:r>
        <w:t xml:space="preserve"> </w:t>
      </w:r>
      <w:r>
        <w:rPr>
          <w:bCs/>
          <w:b/>
        </w:rPr>
        <w:t xml:space="preserve">Constrained evolution of a core winter proteome across independently cold-adapted PACMAD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https://doi.org/10.1101/2025.05.15.654294</w:t>
      </w:r>
    </w:p>
    <w:p>
      <w:pPr>
        <w:numPr>
          <w:ilvl w:val="0"/>
          <w:numId w:val="1002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Extensive modulation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</w:t>
      </w:r>
      <w:r>
        <w:rPr>
          <w:bCs/>
          <w:b/>
        </w:rPr>
        <w:t xml:space="preserve"> </w:t>
      </w:r>
      <w:r>
        <w:rPr>
          <w:bCs/>
          <w:b/>
        </w:rPr>
        <w:t xml:space="preserve">-regulatory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https://doi.org/10.1101/2025.04.23.650228</w:t>
      </w:r>
    </w:p>
    <w:p>
      <w:pPr>
        <w:numPr>
          <w:ilvl w:val="0"/>
          <w:numId w:val="1002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https://doi.org/10.7554/eLife.102321.2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Schulz, A.J., AuBuchon-Elder, T.M., El-Walid, M., Ferebee, T.H., Hale, C.O., La, T.,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https://doi.org/10.1101/2025.01.22.633974</w:t>
      </w:r>
    </w:p>
    <w:p>
      <w:pPr>
        <w:numPr>
          <w:ilvl w:val="0"/>
          <w:numId w:val="1002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(2024).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https://doi.org/10.7554/eLife.102321.1</w:t>
      </w:r>
    </w:p>
    <w:p>
      <w:pPr>
        <w:numPr>
          <w:ilvl w:val="0"/>
          <w:numId w:val="1002"/>
        </w:numPr>
      </w:pPr>
      <w:r>
        <w:t xml:space="preserve">Schulz, A.J., Zhai, J., AuBuchon-Elder, T., El-Walid, M., Ferebee, T.H., Gilmore, E.H., Hufford, M.B., Johnson, L.C., Kellogg, E.A., La, T., Long, E., Miller, Z.R., Romay, M.C., Seetharam, A.S., Stitzer, M.C., Wrightsman, T., Buckler, E.S., Monier, B.,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(2023).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https://doi.org/10.1101/2023.09.19.558246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2026-06-11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2026-06-11T17:17:20Z</dcterms:created>
  <dcterms:modified xsi:type="dcterms:W3CDTF">2026-06-11T17:17:20Z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