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eastAsia="微软雅黑"/>
          <w:b/>
          <w:sz w:val="36"/>
        </w:rPr>
        <w:t>东北大学软件学院</w:t>
      </w:r>
    </w:p>
    <w:p>
      <w:pPr>
        <w:spacing w:before="1000"/>
        <w:jc w:val="center"/>
      </w:pPr>
      <w:r>
        <w:rPr>
          <w:rFonts w:eastAsia="微软雅黑"/>
          <w:b/>
          <w:color w:val="1F4E78"/>
          <w:sz w:val="52"/>
        </w:rPr>
        <w:t>A4-单元测试说明</w:t>
      </w:r>
    </w:p>
    <w:p>
      <w:pPr>
        <w:jc w:val="center"/>
      </w:pPr>
      <w:r>
        <w:rPr>
          <w:rFonts w:eastAsia="微软雅黑"/>
          <w:sz w:val="28"/>
        </w:rPr>
        <w:t>智慧云脑诊疗平台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宋体"/>
                <w:sz w:val="24"/>
              </w:rPr>
              <w:t>课程班级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eastAsia="宋体"/>
                <w:sz w:val="24"/>
              </w:rPr>
              <w:t>软件工程2403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宋体"/>
                <w:sz w:val="24"/>
              </w:rPr>
              <w:t>学生姓名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eastAsia="宋体"/>
                <w:sz w:val="24"/>
              </w:rPr>
              <w:t>吴皓睿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宋体"/>
                <w:sz w:val="24"/>
              </w:rPr>
              <w:t>学号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eastAsia="宋体"/>
                <w:sz w:val="24"/>
              </w:rPr>
              <w:t>20245751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宋体"/>
                <w:sz w:val="24"/>
              </w:rPr>
              <w:t>团队成员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eastAsia="宋体"/>
                <w:sz w:val="24"/>
              </w:rPr>
              <w:t>________________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宋体"/>
                <w:sz w:val="24"/>
              </w:rPr>
              <w:t>完成日期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eastAsia="宋体"/>
                <w:sz w:val="24"/>
              </w:rPr>
              <w:t>2026 年 6 月 20 日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ind w:left="567"/>
      </w:pPr>
      <w:r>
        <w:t>1 测试目标与范围</w:t>
      </w:r>
    </w:p>
    <w:p>
      <w:pPr>
        <w:ind w:left="567"/>
      </w:pPr>
      <w:r>
        <w:t>2 后端测试设计</w:t>
      </w:r>
    </w:p>
    <w:p>
      <w:pPr>
        <w:ind w:left="567"/>
      </w:pPr>
      <w:r>
        <w:t>3 前端测试设计</w:t>
      </w:r>
    </w:p>
    <w:p>
      <w:pPr>
        <w:ind w:left="567"/>
      </w:pPr>
      <w:r>
        <w:t>4 覆盖率门槛与统计口径</w:t>
      </w:r>
    </w:p>
    <w:p>
      <w:pPr>
        <w:ind w:left="567"/>
      </w:pPr>
      <w:r>
        <w:t>5 测试执行结果</w:t>
      </w:r>
    </w:p>
    <w:p>
      <w:pPr>
        <w:ind w:left="567"/>
      </w:pPr>
      <w:r>
        <w:t>6 典型缺陷与回归保护</w:t>
      </w:r>
    </w:p>
    <w:p>
      <w:pPr>
        <w:ind w:left="567"/>
      </w:pPr>
      <w:r>
        <w:t>7 结论</w:t>
      </w:r>
    </w:p>
    <w:p>
      <w:r>
        <w:br w:type="page"/>
      </w:r>
    </w:p>
    <w:p>
      <w:pPr>
        <w:pStyle w:val="Heading1"/>
      </w:pPr>
      <w:r>
        <w:t>1 测试目标与范围</w:t>
      </w:r>
    </w:p>
    <w:p>
      <w:r>
        <w:t>本次测试聚焦智慧云脑诊疗平台的核心业务逻辑和 AI 编排边界。后端使用 JUnit 5、Mockito、Spring Boot Test 与 JaCoCo；前端使用 Vitest、Vue Test Utils、jsdom 与 V8 Coverage。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fill="1F4E78"/>
          </w:tcPr>
          <w:p>
            <w:pPr>
              <w:jc w:val="center"/>
            </w:pPr>
            <w:r>
              <w:rPr>
                <w:rFonts w:eastAsia="微软雅黑"/>
                <w:b/>
                <w:color w:val="FFFFFF"/>
              </w:rPr>
              <w:t>层次</w:t>
            </w:r>
          </w:p>
        </w:tc>
        <w:tc>
          <w:tcPr>
            <w:tcW w:type="dxa" w:w="3024"/>
            <w:shd w:fill="1F4E78"/>
          </w:tcPr>
          <w:p>
            <w:pPr>
              <w:jc w:val="center"/>
            </w:pPr>
            <w:r>
              <w:rPr>
                <w:rFonts w:eastAsia="微软雅黑"/>
                <w:b/>
                <w:color w:val="FFFFFF"/>
              </w:rPr>
              <w:t>范围</w:t>
            </w:r>
          </w:p>
        </w:tc>
        <w:tc>
          <w:tcPr>
            <w:tcW w:type="dxa" w:w="3024"/>
            <w:shd w:fill="1F4E78"/>
          </w:tcPr>
          <w:p>
            <w:pPr>
              <w:jc w:val="center"/>
            </w:pPr>
            <w:r>
              <w:rPr>
                <w:rFonts w:eastAsia="微软雅黑"/>
                <w:b/>
                <w:color w:val="FFFFFF"/>
              </w:rPr>
              <w:t>工具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eastAsia="宋体"/>
                <w:sz w:val="19"/>
              </w:rPr>
              <w:t>后端核心类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eastAsia="宋体"/>
                <w:sz w:val="19"/>
              </w:rPr>
              <w:t>认证、挂号、分诊、病历、处方、通知、AI 编排、Dify 解析、排班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eastAsia="宋体"/>
                <w:sz w:val="19"/>
              </w:rPr>
              <w:t>JUnit 5 / Mockito / Spring Boot Test</w:t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后端业务层</w:t>
            </w:r>
          </w:p>
        </w:tc>
        <w:tc>
          <w:tcPr>
            <w:tcW w:type="dxa" w:w="3024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各微服务 service 包，排除纯 DTO、Entity、Repository 接口、启动类</w:t>
            </w:r>
          </w:p>
        </w:tc>
        <w:tc>
          <w:tcPr>
            <w:tcW w:type="dxa" w:w="3024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JaCoCo 聚合报告 + 自定义门槛脚本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eastAsia="宋体"/>
                <w:sz w:val="19"/>
              </w:rPr>
              <w:t>前端逻辑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eastAsia="宋体"/>
                <w:sz w:val="19"/>
              </w:rPr>
              <w:t>共享 API、格式化与 Pinia Store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eastAsia="宋体"/>
                <w:sz w:val="19"/>
              </w:rPr>
              <w:t>Vitest + V8 Coverage</w:t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前端页面</w:t>
            </w:r>
          </w:p>
        </w:tc>
        <w:tc>
          <w:tcPr>
            <w:tcW w:type="dxa" w:w="3024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登录、分诊、接诊、排班关键页面</w:t>
            </w:r>
          </w:p>
        </w:tc>
        <w:tc>
          <w:tcPr>
            <w:tcW w:type="dxa" w:w="3024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Vue Test Utils 冒烟测试</w:t>
            </w:r>
          </w:p>
        </w:tc>
      </w:tr>
    </w:tbl>
    <w:p/>
    <w:p>
      <w:pPr>
        <w:pStyle w:val="Heading1"/>
      </w:pPr>
      <w:r>
        <w:t>2 后端测试设计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535"/>
            <w:shd w:fill="1F4E78"/>
          </w:tcPr>
          <w:p>
            <w:pPr>
              <w:jc w:val="center"/>
            </w:pPr>
            <w:r>
              <w:rPr>
                <w:rFonts w:eastAsia="微软雅黑"/>
                <w:b/>
                <w:color w:val="FFFFFF"/>
              </w:rPr>
              <w:t>核心类</w:t>
            </w:r>
          </w:p>
        </w:tc>
        <w:tc>
          <w:tcPr>
            <w:tcW w:type="dxa" w:w="4535"/>
            <w:shd w:fill="1F4E78"/>
          </w:tcPr>
          <w:p>
            <w:pPr>
              <w:jc w:val="center"/>
            </w:pPr>
            <w:r>
              <w:rPr>
                <w:rFonts w:eastAsia="微软雅黑"/>
                <w:b/>
                <w:color w:val="FFFFFF"/>
              </w:rPr>
              <w:t>重点用例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AuthService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三角色登录、当前用户、错误账号与权限</w:t>
            </w:r>
          </w:p>
        </w:tc>
      </w:tr>
      <w:tr>
        <w:tc>
          <w:tcPr>
            <w:tcW w:type="dxa" w:w="4535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RegistrationService</w:t>
            </w:r>
          </w:p>
        </w:tc>
        <w:tc>
          <w:tcPr>
            <w:tcW w:type="dxa" w:w="4535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号源扣减、取消恢复、角色可见范围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TriageService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AI 分诊、降级标记、记录落库</w:t>
            </w:r>
          </w:p>
        </w:tc>
      </w:tr>
      <w:tr>
        <w:tc>
          <w:tcPr>
            <w:tcW w:type="dxa" w:w="4535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MedicalRecordService</w:t>
            </w:r>
          </w:p>
        </w:tc>
        <w:tc>
          <w:tcPr>
            <w:tcW w:type="dxa" w:w="4535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草稿生成、SSE、医生保存与患者读取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PrescriptionService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审核、空字段兼容、保存、详情归属</w:t>
            </w:r>
          </w:p>
        </w:tc>
      </w:tr>
      <w:tr>
        <w:tc>
          <w:tcPr>
            <w:tcW w:type="dxa" w:w="4535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NotificationService</w:t>
            </w:r>
          </w:p>
        </w:tc>
        <w:tc>
          <w:tcPr>
            <w:tcW w:type="dxa" w:w="4535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风险通知创建、已读、RabbitMQ Spring 上下文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AiOrchestrationService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四类真实 Provider 调用、统一异常回退与日志</w:t>
            </w:r>
          </w:p>
        </w:tc>
      </w:tr>
      <w:tr>
        <w:tc>
          <w:tcPr>
            <w:tcW w:type="dxa" w:w="4535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DifyAiProvider</w:t>
            </w:r>
          </w:p>
        </w:tc>
        <w:tc>
          <w:tcPr>
            <w:tcW w:type="dxa" w:w="4535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四类输入映射、outputs/result 解析、HTTP 异常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AdminCatalogService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AI 排班生成、强校验、来源/降级落库、发布</w:t>
            </w:r>
          </w:p>
        </w:tc>
      </w:tr>
    </w:tbl>
    <w:p/>
    <w:p>
      <w:r>
        <w:t>通知服务增加 Spring 上下文启动测试，用于在单元测试阶段发现 RabbitMQ 多 Bean 注入歧义。处方服务增加 null 风险说明与建议字段回归测试，避免 Map.of 在真实 Provider 返回可选空字段时抛出异常。</w:t>
      </w:r>
    </w:p>
    <w:p>
      <w:pPr>
        <w:pStyle w:val="Heading1"/>
      </w:pPr>
      <w:r>
        <w:t>3 前端测试设计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535"/>
            <w:shd w:fill="1F4E78"/>
          </w:tcPr>
          <w:p>
            <w:pPr>
              <w:jc w:val="center"/>
            </w:pPr>
            <w:r>
              <w:rPr>
                <w:rFonts w:eastAsia="微软雅黑"/>
                <w:b/>
                <w:color w:val="FFFFFF"/>
              </w:rPr>
              <w:t>测试组</w:t>
            </w:r>
          </w:p>
        </w:tc>
        <w:tc>
          <w:tcPr>
            <w:tcW w:type="dxa" w:w="4535"/>
            <w:shd w:fill="1F4E78"/>
          </w:tcPr>
          <w:p>
            <w:pPr>
              <w:jc w:val="center"/>
            </w:pPr>
            <w:r>
              <w:rPr>
                <w:rFonts w:eastAsia="微软雅黑"/>
                <w:b/>
                <w:color w:val="FFFFFF"/>
              </w:rPr>
              <w:t>验证内容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shared-api logic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请求封装、角色头、错误信息、日期与金额格式化</w:t>
            </w:r>
          </w:p>
        </w:tc>
      </w:tr>
      <w:tr>
        <w:tc>
          <w:tcPr>
            <w:tcW w:type="dxa" w:w="4535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Pinia Stores</w:t>
            </w:r>
          </w:p>
        </w:tc>
        <w:tc>
          <w:tcPr>
            <w:tcW w:type="dxa" w:w="4535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患者/医生/管理员会话状态、令牌读写与退出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患者登录/分诊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表单渲染、提交入口、结果区冒烟</w:t>
            </w:r>
          </w:p>
        </w:tc>
      </w:tr>
      <w:tr>
        <w:tc>
          <w:tcPr>
            <w:tcW w:type="dxa" w:w="4535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医生接诊</w:t>
            </w:r>
          </w:p>
        </w:tc>
        <w:tc>
          <w:tcPr>
            <w:tcW w:type="dxa" w:w="4535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队列、病历草稿与处方审核入口冒烟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管理员排班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生成、来源状态、详情与发布入口冒烟</w:t>
            </w:r>
          </w:p>
        </w:tc>
      </w:tr>
    </w:tbl>
    <w:p/>
    <w:p>
      <w:pPr>
        <w:pStyle w:val="Heading1"/>
      </w:pPr>
      <w:r>
        <w:t>4 覆盖率门槛与统计口径</w:t>
      </w:r>
    </w:p>
    <w:p>
      <w:r>
        <w:t>JaCoCo HTML 首页展示全模块原始聚合口径，包含 Controller、配置、Entity 等非业务代码。课程验收由 scripts/check-backend-coverage.py 从同一 JaCoCo XML 中只统计 service/application/provider 业务类：业务行覆盖率 93.73%（1466/1564），十个指定核心类中 10 个达到 100%。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fill="1F4E78"/>
          </w:tcPr>
          <w:p>
            <w:pPr>
              <w:jc w:val="center"/>
            </w:pPr>
            <w:r>
              <w:rPr>
                <w:rFonts w:eastAsia="微软雅黑"/>
                <w:b/>
                <w:color w:val="FFFFFF"/>
              </w:rPr>
              <w:t>门槛</w:t>
            </w:r>
          </w:p>
        </w:tc>
        <w:tc>
          <w:tcPr>
            <w:tcW w:type="dxa" w:w="3024"/>
            <w:shd w:fill="1F4E78"/>
          </w:tcPr>
          <w:p>
            <w:pPr>
              <w:jc w:val="center"/>
            </w:pPr>
            <w:r>
              <w:rPr>
                <w:rFonts w:eastAsia="微软雅黑"/>
                <w:b/>
                <w:color w:val="FFFFFF"/>
              </w:rPr>
              <w:t>实际结果</w:t>
            </w:r>
          </w:p>
        </w:tc>
        <w:tc>
          <w:tcPr>
            <w:tcW w:type="dxa" w:w="3024"/>
            <w:shd w:fill="1F4E78"/>
          </w:tcPr>
          <w:p>
            <w:pPr>
              <w:jc w:val="center"/>
            </w:pPr>
            <w:r>
              <w:rPr>
                <w:rFonts w:eastAsia="微软雅黑"/>
                <w:b/>
                <w:color w:val="FFFFFF"/>
              </w:rPr>
              <w:t>结论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eastAsia="宋体"/>
                <w:sz w:val="19"/>
              </w:rPr>
              <w:t>后端核心类行覆盖率 100%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eastAsia="宋体"/>
                <w:sz w:val="19"/>
              </w:rPr>
              <w:t>10/10 核心类达到 100%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eastAsia="宋体"/>
                <w:sz w:val="19"/>
              </w:rPr>
              <w:t>通过</w:t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后端业务层行覆盖率 &gt;= 80%</w:t>
            </w:r>
          </w:p>
        </w:tc>
        <w:tc>
          <w:tcPr>
            <w:tcW w:type="dxa" w:w="3024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93.73%（1466/1564）</w:t>
            </w:r>
          </w:p>
        </w:tc>
        <w:tc>
          <w:tcPr>
            <w:tcW w:type="dxa" w:w="3024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通过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eastAsia="宋体"/>
                <w:sz w:val="19"/>
              </w:rPr>
              <w:t>前端业务逻辑行覆盖率 &gt;= 80%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eastAsia="宋体"/>
                <w:sz w:val="19"/>
              </w:rPr>
              <w:t>99.71%（349/350）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eastAsia="宋体"/>
                <w:sz w:val="19"/>
              </w:rPr>
              <w:t>通过</w:t>
            </w:r>
          </w:p>
        </w:tc>
      </w:tr>
      <w:tr>
        <w:tc>
          <w:tcPr>
            <w:tcW w:type="dxa" w:w="3024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前端核心 Store 100%</w:t>
            </w:r>
          </w:p>
        </w:tc>
        <w:tc>
          <w:tcPr>
            <w:tcW w:type="dxa" w:w="3024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4/4 Store 的语句、分支、函数和行均为 100%</w:t>
            </w:r>
          </w:p>
        </w:tc>
        <w:tc>
          <w:tcPr>
            <w:tcW w:type="dxa" w:w="3024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通过</w:t>
            </w:r>
          </w:p>
        </w:tc>
      </w:tr>
    </w:tbl>
    <w:p/>
    <w:p>
      <w:pPr>
        <w:pStyle w:val="Heading1"/>
      </w:pPr>
      <w:r>
        <w:t>5 测试执行结果</w:t>
      </w:r>
    </w:p>
    <w:p>
      <w:pPr>
        <w:spacing w:before="60" w:after="120"/>
        <w:ind w:left="340" w:right="340"/>
        <w:shd w:fill="F6F8FA"/>
      </w:pPr>
      <w:r>
        <w:rPr>
          <w:rFonts w:ascii="Menlo" w:hAnsi="Menlo" w:eastAsia="等线"/>
          <w:sz w:val="17"/>
        </w:rPr>
        <w:t>mvn -f backend/pom.xml clean verify</w:t>
        <w:br/>
        <w:t>python3 scripts/check-backend-coverage.py</w:t>
        <w:br/>
        <w:t>cd frontend &amp;&amp; corepack pnpm run test:coverage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32000" cy="3579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coco-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7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color w:val="5A5A5A"/>
          <w:sz w:val="18"/>
        </w:rPr>
        <w:t>图 1  JaCoCo 全模块聚合报告首页（全口径）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32000" cy="35795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test-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7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color w:val="5A5A5A"/>
          <w:sz w:val="18"/>
        </w:rPr>
        <w:t>图 2  Vitest V8 Coverage 报告首页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535"/>
            <w:shd w:fill="1F4E78"/>
          </w:tcPr>
          <w:p>
            <w:pPr>
              <w:jc w:val="center"/>
            </w:pPr>
            <w:r>
              <w:rPr>
                <w:rFonts w:eastAsia="微软雅黑"/>
                <w:b/>
                <w:color w:val="FFFFFF"/>
              </w:rPr>
              <w:t>执行项</w:t>
            </w:r>
          </w:p>
        </w:tc>
        <w:tc>
          <w:tcPr>
            <w:tcW w:type="dxa" w:w="4535"/>
            <w:shd w:fill="1F4E78"/>
          </w:tcPr>
          <w:p>
            <w:pPr>
              <w:jc w:val="center"/>
            </w:pPr>
            <w:r>
              <w:rPr>
                <w:rFonts w:eastAsia="微软雅黑"/>
                <w:b/>
                <w:color w:val="FFFFFF"/>
              </w:rPr>
              <w:t>结果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后端 Maven clean verify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通过；108 个测试，0 失败</w:t>
            </w:r>
          </w:p>
        </w:tc>
      </w:tr>
      <w:tr>
        <w:tc>
          <w:tcPr>
            <w:tcW w:type="dxa" w:w="4535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后端业务覆盖率检查</w:t>
            </w:r>
          </w:p>
        </w:tc>
        <w:tc>
          <w:tcPr>
            <w:tcW w:type="dxa" w:w="4535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通过；93.73%，10 个核心类 100%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前端 Vitest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通过；28 个测试</w:t>
            </w:r>
          </w:p>
        </w:tc>
      </w:tr>
      <w:tr>
        <w:tc>
          <w:tcPr>
            <w:tcW w:type="dxa" w:w="4535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前端 V8 Coverage</w:t>
            </w:r>
          </w:p>
        </w:tc>
        <w:tc>
          <w:tcPr>
            <w:tcW w:type="dxa" w:w="4535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通过；行 99.71%、分支 92.3%、函数 100%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患者/医生/管理端构建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通过；三个 Vite production build 均成功</w:t>
            </w:r>
          </w:p>
        </w:tc>
      </w:tr>
      <w:tr>
        <w:tc>
          <w:tcPr>
            <w:tcW w:type="dxa" w:w="4535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Newman 业务闭环</w:t>
            </w:r>
          </w:p>
        </w:tc>
        <w:tc>
          <w:tcPr>
            <w:tcW w:type="dxa" w:w="4535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连续两轮通过；每轮 33 请求、74 断言、0 失败</w:t>
            </w:r>
          </w:p>
        </w:tc>
      </w:tr>
    </w:tbl>
    <w:p/>
    <w:p>
      <w:pPr>
        <w:pStyle w:val="Heading1"/>
      </w:pPr>
      <w:r>
        <w:t>6 典型缺陷与回归保护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535"/>
            <w:shd w:fill="1F4E78"/>
          </w:tcPr>
          <w:p>
            <w:pPr>
              <w:jc w:val="center"/>
            </w:pPr>
            <w:r>
              <w:rPr>
                <w:rFonts w:eastAsia="微软雅黑"/>
                <w:b/>
                <w:color w:val="FFFFFF"/>
              </w:rPr>
              <w:t>缺陷风险</w:t>
            </w:r>
          </w:p>
        </w:tc>
        <w:tc>
          <w:tcPr>
            <w:tcW w:type="dxa" w:w="4535"/>
            <w:shd w:fill="1F4E78"/>
          </w:tcPr>
          <w:p>
            <w:pPr>
              <w:jc w:val="center"/>
            </w:pPr>
            <w:r>
              <w:rPr>
                <w:rFonts w:eastAsia="微软雅黑"/>
                <w:b/>
                <w:color w:val="FFFFFF"/>
              </w:rPr>
              <w:t>测试保护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通知服务 RabbitMQ Bean 歧义导致容器重启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RabbitConfigContextTest 启动 Spring 上下文</w:t>
            </w:r>
          </w:p>
        </w:tc>
      </w:tr>
      <w:tr>
        <w:tc>
          <w:tcPr>
            <w:tcW w:type="dxa" w:w="4535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Dify 返回 result 字符串而非直接对象</w:t>
            </w:r>
          </w:p>
        </w:tc>
        <w:tc>
          <w:tcPr>
            <w:tcW w:type="dxa" w:w="4535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DifyAiProvider 四任务解析测试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真实 AI 调用失败阻断主流程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AiOrchestrationService 四任务 fallback 测试</w:t>
            </w:r>
          </w:p>
        </w:tc>
      </w:tr>
      <w:tr>
        <w:tc>
          <w:tcPr>
            <w:tcW w:type="dxa" w:w="4535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AI 排班产生越界或冲突数据</w:t>
            </w:r>
          </w:p>
        </w:tc>
        <w:tc>
          <w:tcPr>
            <w:tcW w:type="dxa" w:w="4535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医生/科室/日期/时间/容量/重复强校验测试</w:t>
            </w:r>
          </w:p>
        </w:tc>
      </w:tr>
      <w:tr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处方可选字段为 null 触发 NPE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宋体"/>
                <w:sz w:val="19"/>
              </w:rPr>
              <w:t>PrescriptionService 空字段回归测试</w:t>
            </w:r>
          </w:p>
        </w:tc>
      </w:tr>
      <w:tr>
        <w:tc>
          <w:tcPr>
            <w:tcW w:type="dxa" w:w="4535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页面改动破坏核心入口</w:t>
            </w:r>
          </w:p>
        </w:tc>
        <w:tc>
          <w:tcPr>
            <w:tcW w:type="dxa" w:w="4535"/>
            <w:vAlign w:val="center"/>
            <w:shd w:fill="F2F2F2"/>
          </w:tcPr>
          <w:p>
            <w:r>
              <w:rPr>
                <w:rFonts w:eastAsia="宋体"/>
                <w:sz w:val="19"/>
              </w:rPr>
              <w:t>四个 Vue 页面冒烟测试</w:t>
            </w:r>
          </w:p>
        </w:tc>
      </w:tr>
    </w:tbl>
    <w:p/>
    <w:p>
      <w:pPr>
        <w:pStyle w:val="Heading1"/>
      </w:pPr>
      <w:r>
        <w:t>7 结论</w:t>
      </w:r>
    </w:p>
    <w:p>
      <w:r>
        <w:t>本轮已建立可重复执行的后端聚合覆盖率与前端 V8 Coverage 流程。覆盖率门槛针对业务代码而非 DTO/Entity 等数据结构，既避免用低价值代码堆高数字，也对认证、诊疗闭环、AI 编排和排班发布等高风险逻辑形成回归保护。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7" w:right="1361" w:bottom="1304" w:left="147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eastAsia="宋体"/>
        <w:color w:val="6E6E6E"/>
        <w:sz w:val="18"/>
      </w:rPr>
      <w:t>智慧云脑诊疗平台 · A4 单元测试说明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 w:eastAsia="微软雅黑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