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黑体" w:hAnsi="黑体" w:eastAsia="黑体"/>
          <w:b/>
          <w:sz w:val="52"/>
        </w:rPr>
        <w:t>毕业论文（设计）</w:t>
      </w:r>
    </w:p>
    <w:p/>
    <w:p>
      <w:pPr>
        <w:jc w:val="center"/>
      </w:pPr>
      <w:r>
        <w:rPr>
          <w:rFonts w:ascii="宋体" w:hAnsi="宋体" w:eastAsia="宋体"/>
          <w:b/>
          <w:sz w:val="40"/>
        </w:rPr>
        <w:t>基于网格搜索的短时交通量预测研究</w:t>
      </w:r>
    </w:p>
    <w:p/>
    <w:p>
      <w:pPr>
        <w:ind w:firstLine="0"/>
        <w:jc w:val="center"/>
      </w:pPr>
      <w:r>
        <w:rPr>
          <w:rFonts w:ascii="宋体" w:hAnsi="宋体" w:eastAsia="宋体"/>
          <w:b w:val="0"/>
          <w:sz w:val="28"/>
        </w:rPr>
        <w:t>学    院：数学与统计学院</w:t>
      </w:r>
    </w:p>
    <w:p>
      <w:pPr>
        <w:ind w:firstLine="0"/>
        <w:jc w:val="center"/>
      </w:pPr>
      <w:r>
        <w:rPr>
          <w:rFonts w:ascii="宋体" w:hAnsi="宋体" w:eastAsia="宋体"/>
          <w:b w:val="0"/>
          <w:sz w:val="28"/>
        </w:rPr>
        <w:t>专    业：数学拔尖人才计划</w:t>
      </w:r>
    </w:p>
    <w:p>
      <w:pPr>
        <w:ind w:firstLine="0"/>
        <w:jc w:val="center"/>
      </w:pPr>
      <w:r>
        <w:rPr>
          <w:rFonts w:ascii="宋体" w:hAnsi="宋体" w:eastAsia="宋体"/>
          <w:b w:val="0"/>
          <w:sz w:val="28"/>
        </w:rPr>
        <w:t>学生姓名：方义凯</w:t>
      </w:r>
    </w:p>
    <w:p>
      <w:pPr>
        <w:ind w:firstLine="0"/>
        <w:jc w:val="center"/>
      </w:pPr>
      <w:r>
        <w:rPr>
          <w:rFonts w:ascii="宋体" w:hAnsi="宋体" w:eastAsia="宋体"/>
          <w:b w:val="0"/>
          <w:sz w:val="28"/>
        </w:rPr>
        <w:t>学    号：632210040410</w:t>
      </w:r>
    </w:p>
    <w:p>
      <w:pPr>
        <w:ind w:firstLine="0"/>
        <w:jc w:val="center"/>
      </w:pPr>
      <w:r>
        <w:rPr>
          <w:rFonts w:ascii="宋体" w:hAnsi="宋体" w:eastAsia="宋体"/>
          <w:b w:val="0"/>
          <w:sz w:val="28"/>
        </w:rPr>
        <w:t>指导教师：赵磊娜</w:t>
      </w:r>
    </w:p>
    <w:p>
      <w:pPr>
        <w:ind w:firstLine="0"/>
        <w:jc w:val="center"/>
      </w:pPr>
      <w:r>
        <w:rPr>
          <w:rFonts w:ascii="宋体" w:hAnsi="宋体" w:eastAsia="宋体"/>
          <w:b w:val="0"/>
          <w:sz w:val="28"/>
        </w:rPr>
        <w:t>完成时间：2026 年 6 月</w:t>
      </w:r>
    </w:p>
    <w:p>
      <w:r>
        <w:br w:type="page"/>
      </w:r>
    </w:p>
    <w:p>
      <w:pPr>
        <w:spacing w:before="240" w:after="120"/>
        <w:ind w:firstLine="0"/>
        <w:jc w:val="left"/>
      </w:pPr>
      <w:r>
        <w:rPr>
          <w:rFonts w:ascii="黑体" w:hAnsi="黑体" w:eastAsia="黑体"/>
          <w:b/>
          <w:sz w:val="32"/>
        </w:rPr>
        <w:t>摘  要</w:t>
      </w:r>
    </w:p>
    <w:p>
      <w:pPr>
        <w:spacing w:before="0" w:after="120" w:line="440" w:lineRule="exact"/>
        <w:ind w:firstLine="480"/>
        <w:jc w:val="both"/>
      </w:pPr>
      <w:r>
        <w:rPr>
          <w:rFonts w:ascii="宋体" w:hAnsi="宋体" w:eastAsia="宋体"/>
          <w:b w:val="0"/>
          <w:sz w:val="24"/>
        </w:rPr>
        <w:t>短时交通量预测是智能交通系统的核心功能，准确的预测结果能有效缓解城市交通拥堵，提升道路通行效率。然而，现有深度学习预测模型（如LSTM、Bi-GRU）的参数设置多依赖经验，导致模型性能不稳定、泛化能力有限。本研究以美国加州交通局PeMS数据集为基础，系统构建了基于网格搜索的短时交通量预测框架。通过对LSTM、Bi-GRU、ARIMA三类典型模型的关键超参数进行网格搜索结合5折交叉验证的系统优化，建立精度—稳定性双重评价体系。实验结果表明，经网格搜索优化后，LSTM模型的RMSE较经验调参基线降低约18%—26%，Bi-GRU模型降低约15%—22%，且在高峰时段等复杂场景下的预测鲁棒性显著提升。本研究验证了网格搜索在短时交通量预测参数优化中的有效性，为智能交通系统的工程实践提供了可复现的参数优化方案。</w:t>
      </w:r>
    </w:p>
    <w:p>
      <w:pPr>
        <w:ind w:firstLine="0"/>
      </w:pPr>
      <w:r>
        <w:rPr>
          <w:rFonts w:ascii="宋体" w:hAnsi="宋体" w:eastAsia="宋体"/>
          <w:b/>
          <w:sz w:val="24"/>
        </w:rPr>
        <w:t>关键词：短时交通量预测；网格搜索；LSTM；Bi-GRU；ARIMA；超参数优化</w:t>
      </w:r>
    </w:p>
    <w:p>
      <w:r>
        <w:br w:type="page"/>
      </w:r>
    </w:p>
    <w:p>
      <w:pPr>
        <w:spacing w:before="240" w:after="120"/>
        <w:ind w:firstLine="0"/>
        <w:jc w:val="left"/>
      </w:pPr>
      <w:r>
        <w:rPr>
          <w:rFonts w:ascii="黑体" w:hAnsi="黑体" w:eastAsia="黑体"/>
          <w:b/>
          <w:sz w:val="32"/>
        </w:rPr>
        <w:t>Abstract</w:t>
      </w:r>
    </w:p>
    <w:p>
      <w:pPr>
        <w:spacing w:before="0" w:after="120" w:line="440" w:lineRule="exact"/>
        <w:ind w:firstLine="480"/>
        <w:jc w:val="both"/>
      </w:pPr>
      <w:r>
        <w:rPr>
          <w:rFonts w:ascii="Times New Roman" w:hAnsi="Times New Roman" w:eastAsia="Times New Roman"/>
          <w:b w:val="0"/>
          <w:sz w:val="24"/>
        </w:rPr>
        <w:t>Short-term traffic flow prediction is a core function of intelligent transportation systems. Accurate predictions can effectively alleviate urban traffic congestion and improve road throughput efficiency. However, the hyperparameters of existing deep learning prediction models (such as LSTM and Bi-GRU) are mostly set empirically, resulting in unstable performance and limited generalization. This study uses the PeMS dataset from Caltrans as the foundation and systematically constructs a short-term traffic flow prediction framework based on grid search. By performing grid search with 5-fold cross-validation to optimize the key hyperparameters of three representative models—LSTM, Bi-GRU, and ARIMA—a dual evaluation system for accuracy and stability is established. Experimental results show that after grid search optimization, the RMSE of the LSTM model is reduced by approximately 18%–26% compared to the empirically tuned baseline, while the Bi-GRU model achieves a reduction of 15%–22%. Prediction robustness in complex scenarios such as peak hours is also significantly improved. This study validates the effectiveness of grid search for hyperparameter optimization in short-term traffic prediction and provides a reproducible parameter optimization scheme for intelligent transportation engineering practice.</w:t>
      </w:r>
    </w:p>
    <w:p>
      <w:pPr>
        <w:ind w:firstLine="0"/>
      </w:pPr>
      <w:r>
        <w:rPr>
          <w:rFonts w:ascii="Times New Roman" w:hAnsi="Times New Roman" w:eastAsia="Times New Roman"/>
          <w:b/>
          <w:sz w:val="24"/>
        </w:rPr>
        <w:t>Keywords: Short-term traffic flow prediction; Grid search; LSTM; Bi-GRU; ARIMA; Hyperparameter optimization</w:t>
      </w:r>
    </w:p>
    <w:p>
      <w:r>
        <w:br w:type="page"/>
      </w:r>
    </w:p>
    <w:p>
      <w:pPr>
        <w:spacing w:before="240" w:after="120"/>
        <w:ind w:firstLine="0"/>
        <w:jc w:val="left"/>
      </w:pPr>
      <w:r>
        <w:rPr>
          <w:rFonts w:ascii="黑体" w:hAnsi="黑体" w:eastAsia="黑体"/>
          <w:b/>
          <w:sz w:val="32"/>
        </w:rPr>
        <w:t>目  录</w:t>
      </w:r>
    </w:p>
    <w:p>
      <w:pPr>
        <w:tabs>
          <w:tab w:pos="7937" w:val="right"/>
        </w:tabs>
        <w:spacing w:after="40"/>
        <w:ind w:firstLine="0"/>
      </w:pPr>
      <w:r>
        <w:rPr>
          <w:rFonts w:ascii="宋体" w:hAnsi="宋体" w:eastAsia="宋体"/>
          <w:b w:val="0"/>
          <w:sz w:val="24"/>
        </w:rPr>
        <w:t>1  绪论</w:t>
        <w:tab/>
        <w:t>1</w:t>
      </w:r>
    </w:p>
    <w:p>
      <w:pPr>
        <w:tabs>
          <w:tab w:pos="7937" w:val="right"/>
        </w:tabs>
        <w:spacing w:after="40"/>
        <w:ind w:firstLine="0"/>
      </w:pPr>
      <w:r>
        <w:rPr>
          <w:rFonts w:ascii="宋体" w:hAnsi="宋体" w:eastAsia="宋体"/>
          <w:b w:val="0"/>
          <w:sz w:val="24"/>
        </w:rPr>
        <w:t xml:space="preserve">  1.1  研究背景与意义</w:t>
        <w:tab/>
        <w:t>1</w:t>
      </w:r>
    </w:p>
    <w:p>
      <w:pPr>
        <w:tabs>
          <w:tab w:pos="7937" w:val="right"/>
        </w:tabs>
        <w:spacing w:after="40"/>
        <w:ind w:firstLine="0"/>
      </w:pPr>
      <w:r>
        <w:rPr>
          <w:rFonts w:ascii="宋体" w:hAnsi="宋体" w:eastAsia="宋体"/>
          <w:b w:val="0"/>
          <w:sz w:val="24"/>
        </w:rPr>
        <w:t xml:space="preserve">  1.2  国内外研究现状</w:t>
        <w:tab/>
        <w:t>3</w:t>
      </w:r>
    </w:p>
    <w:p>
      <w:pPr>
        <w:tabs>
          <w:tab w:pos="7937" w:val="right"/>
        </w:tabs>
        <w:spacing w:after="40"/>
        <w:ind w:firstLine="0"/>
      </w:pPr>
      <w:r>
        <w:rPr>
          <w:rFonts w:ascii="宋体" w:hAnsi="宋体" w:eastAsia="宋体"/>
          <w:b w:val="0"/>
          <w:sz w:val="24"/>
        </w:rPr>
        <w:t xml:space="preserve">  1.3  研究内容与创新点</w:t>
        <w:tab/>
        <w:t>5</w:t>
      </w:r>
    </w:p>
    <w:p>
      <w:pPr>
        <w:tabs>
          <w:tab w:pos="7937" w:val="right"/>
        </w:tabs>
        <w:spacing w:after="40"/>
        <w:ind w:firstLine="0"/>
      </w:pPr>
      <w:r>
        <w:rPr>
          <w:rFonts w:ascii="宋体" w:hAnsi="宋体" w:eastAsia="宋体"/>
          <w:b w:val="0"/>
          <w:sz w:val="24"/>
        </w:rPr>
        <w:t xml:space="preserve">  1.4  论文结构安排</w:t>
        <w:tab/>
        <w:t>6</w:t>
      </w:r>
    </w:p>
    <w:p>
      <w:pPr>
        <w:tabs>
          <w:tab w:pos="7937" w:val="right"/>
        </w:tabs>
        <w:spacing w:after="40"/>
        <w:ind w:firstLine="0"/>
      </w:pPr>
      <w:r>
        <w:rPr>
          <w:rFonts w:ascii="宋体" w:hAnsi="宋体" w:eastAsia="宋体"/>
          <w:b w:val="0"/>
          <w:sz w:val="24"/>
        </w:rPr>
        <w:t>2  理论基础与方法</w:t>
        <w:tab/>
        <w:t>7</w:t>
      </w:r>
    </w:p>
    <w:p>
      <w:pPr>
        <w:tabs>
          <w:tab w:pos="7937" w:val="right"/>
        </w:tabs>
        <w:spacing w:after="40"/>
        <w:ind w:firstLine="0"/>
      </w:pPr>
      <w:r>
        <w:rPr>
          <w:rFonts w:ascii="宋体" w:hAnsi="宋体" w:eastAsia="宋体"/>
          <w:b w:val="0"/>
          <w:sz w:val="24"/>
        </w:rPr>
        <w:t xml:space="preserve">  2.1  ARIMA模型</w:t>
        <w:tab/>
        <w:t>7</w:t>
      </w:r>
    </w:p>
    <w:p>
      <w:pPr>
        <w:tabs>
          <w:tab w:pos="7937" w:val="right"/>
        </w:tabs>
        <w:spacing w:after="40"/>
        <w:ind w:firstLine="0"/>
      </w:pPr>
      <w:r>
        <w:rPr>
          <w:rFonts w:ascii="宋体" w:hAnsi="宋体" w:eastAsia="宋体"/>
          <w:b w:val="0"/>
          <w:sz w:val="24"/>
        </w:rPr>
        <w:t xml:space="preserve">  2.2  LSTM模型</w:t>
        <w:tab/>
        <w:t>8</w:t>
      </w:r>
    </w:p>
    <w:p>
      <w:pPr>
        <w:tabs>
          <w:tab w:pos="7937" w:val="right"/>
        </w:tabs>
        <w:spacing w:after="40"/>
        <w:ind w:firstLine="0"/>
      </w:pPr>
      <w:r>
        <w:rPr>
          <w:rFonts w:ascii="宋体" w:hAnsi="宋体" w:eastAsia="宋体"/>
          <w:b w:val="0"/>
          <w:sz w:val="24"/>
        </w:rPr>
        <w:t xml:space="preserve">  2.3  Bi-GRU模型</w:t>
        <w:tab/>
        <w:t>10</w:t>
      </w:r>
    </w:p>
    <w:p>
      <w:pPr>
        <w:tabs>
          <w:tab w:pos="7937" w:val="right"/>
        </w:tabs>
        <w:spacing w:after="40"/>
        <w:ind w:firstLine="0"/>
      </w:pPr>
      <w:r>
        <w:rPr>
          <w:rFonts w:ascii="宋体" w:hAnsi="宋体" w:eastAsia="宋体"/>
          <w:b w:val="0"/>
          <w:sz w:val="24"/>
        </w:rPr>
        <w:t xml:space="preserve">  2.4  网格搜索与交叉验证</w:t>
        <w:tab/>
        <w:t>12</w:t>
      </w:r>
    </w:p>
    <w:p>
      <w:pPr>
        <w:tabs>
          <w:tab w:pos="7937" w:val="right"/>
        </w:tabs>
        <w:spacing w:after="40"/>
        <w:ind w:firstLine="0"/>
      </w:pPr>
      <w:r>
        <w:rPr>
          <w:rFonts w:ascii="宋体" w:hAnsi="宋体" w:eastAsia="宋体"/>
          <w:b w:val="0"/>
          <w:sz w:val="24"/>
        </w:rPr>
        <w:t>3  数据与预处理</w:t>
        <w:tab/>
        <w:t>14</w:t>
      </w:r>
    </w:p>
    <w:p>
      <w:pPr>
        <w:tabs>
          <w:tab w:pos="7937" w:val="right"/>
        </w:tabs>
        <w:spacing w:after="40"/>
        <w:ind w:firstLine="0"/>
      </w:pPr>
      <w:r>
        <w:rPr>
          <w:rFonts w:ascii="宋体" w:hAnsi="宋体" w:eastAsia="宋体"/>
          <w:b w:val="0"/>
          <w:sz w:val="24"/>
        </w:rPr>
        <w:t xml:space="preserve">  3.1  数据集介绍</w:t>
        <w:tab/>
        <w:t>14</w:t>
      </w:r>
    </w:p>
    <w:p>
      <w:pPr>
        <w:tabs>
          <w:tab w:pos="7937" w:val="right"/>
        </w:tabs>
        <w:spacing w:after="40"/>
        <w:ind w:firstLine="0"/>
      </w:pPr>
      <w:r>
        <w:rPr>
          <w:rFonts w:ascii="宋体" w:hAnsi="宋体" w:eastAsia="宋体"/>
          <w:b w:val="0"/>
          <w:sz w:val="24"/>
        </w:rPr>
        <w:t xml:space="preserve">  3.2  数据清洗与异常检测</w:t>
        <w:tab/>
        <w:t>15</w:t>
      </w:r>
    </w:p>
    <w:p>
      <w:pPr>
        <w:tabs>
          <w:tab w:pos="7937" w:val="right"/>
        </w:tabs>
        <w:spacing w:after="40"/>
        <w:ind w:firstLine="0"/>
      </w:pPr>
      <w:r>
        <w:rPr>
          <w:rFonts w:ascii="宋体" w:hAnsi="宋体" w:eastAsia="宋体"/>
          <w:b w:val="0"/>
          <w:sz w:val="24"/>
        </w:rPr>
        <w:t xml:space="preserve">  3.3  特征构建与数据划分</w:t>
        <w:tab/>
        <w:t>16</w:t>
      </w:r>
    </w:p>
    <w:p>
      <w:pPr>
        <w:tabs>
          <w:tab w:pos="7937" w:val="right"/>
        </w:tabs>
        <w:spacing w:after="40"/>
        <w:ind w:firstLine="0"/>
      </w:pPr>
      <w:r>
        <w:rPr>
          <w:rFonts w:ascii="宋体" w:hAnsi="宋体" w:eastAsia="宋体"/>
          <w:b w:val="0"/>
          <w:sz w:val="24"/>
        </w:rPr>
        <w:t>4  实验设计与结果分析</w:t>
        <w:tab/>
        <w:t>18</w:t>
      </w:r>
    </w:p>
    <w:p>
      <w:pPr>
        <w:tabs>
          <w:tab w:pos="7937" w:val="right"/>
        </w:tabs>
        <w:spacing w:after="40"/>
        <w:ind w:firstLine="0"/>
      </w:pPr>
      <w:r>
        <w:rPr>
          <w:rFonts w:ascii="宋体" w:hAnsi="宋体" w:eastAsia="宋体"/>
          <w:b w:val="0"/>
          <w:sz w:val="24"/>
        </w:rPr>
        <w:t xml:space="preserve">  4.1  实验环境与参数网格</w:t>
        <w:tab/>
        <w:t>18</w:t>
      </w:r>
    </w:p>
    <w:p>
      <w:pPr>
        <w:tabs>
          <w:tab w:pos="7937" w:val="right"/>
        </w:tabs>
        <w:spacing w:after="40"/>
        <w:ind w:firstLine="0"/>
      </w:pPr>
      <w:r>
        <w:rPr>
          <w:rFonts w:ascii="宋体" w:hAnsi="宋体" w:eastAsia="宋体"/>
          <w:b w:val="0"/>
          <w:sz w:val="24"/>
        </w:rPr>
        <w:t xml:space="preserve">  4.2  网格搜索结果</w:t>
        <w:tab/>
        <w:t>19</w:t>
      </w:r>
    </w:p>
    <w:p>
      <w:pPr>
        <w:tabs>
          <w:tab w:pos="7937" w:val="right"/>
        </w:tabs>
        <w:spacing w:after="40"/>
        <w:ind w:firstLine="0"/>
      </w:pPr>
      <w:r>
        <w:rPr>
          <w:rFonts w:ascii="宋体" w:hAnsi="宋体" w:eastAsia="宋体"/>
          <w:b w:val="0"/>
          <w:sz w:val="24"/>
        </w:rPr>
        <w:t xml:space="preserve">  4.3  模型性能对比</w:t>
        <w:tab/>
        <w:t>21</w:t>
      </w:r>
    </w:p>
    <w:p>
      <w:pPr>
        <w:tabs>
          <w:tab w:pos="7937" w:val="right"/>
        </w:tabs>
        <w:spacing w:after="40"/>
        <w:ind w:firstLine="0"/>
      </w:pPr>
      <w:r>
        <w:rPr>
          <w:rFonts w:ascii="宋体" w:hAnsi="宋体" w:eastAsia="宋体"/>
          <w:b w:val="0"/>
          <w:sz w:val="24"/>
        </w:rPr>
        <w:t xml:space="preserve">  4.4  鲁棒性分析</w:t>
        <w:tab/>
        <w:t>23</w:t>
      </w:r>
    </w:p>
    <w:p>
      <w:pPr>
        <w:tabs>
          <w:tab w:pos="7937" w:val="right"/>
        </w:tabs>
        <w:spacing w:after="40"/>
        <w:ind w:firstLine="0"/>
      </w:pPr>
      <w:r>
        <w:rPr>
          <w:rFonts w:ascii="宋体" w:hAnsi="宋体" w:eastAsia="宋体"/>
          <w:b w:val="0"/>
          <w:sz w:val="24"/>
        </w:rPr>
        <w:t>5  结论与展望</w:t>
        <w:tab/>
        <w:t>25</w:t>
      </w:r>
    </w:p>
    <w:p>
      <w:pPr>
        <w:tabs>
          <w:tab w:pos="7937" w:val="right"/>
        </w:tabs>
        <w:spacing w:after="40"/>
        <w:ind w:firstLine="0"/>
      </w:pPr>
      <w:r>
        <w:rPr>
          <w:rFonts w:ascii="宋体" w:hAnsi="宋体" w:eastAsia="宋体"/>
          <w:b w:val="0"/>
          <w:sz w:val="24"/>
        </w:rPr>
        <w:t>参考文献</w:t>
        <w:tab/>
        <w:t>27</w:t>
      </w:r>
    </w:p>
    <w:p>
      <w:r>
        <w:br w:type="page"/>
      </w:r>
    </w:p>
    <w:p>
      <w:pPr>
        <w:spacing w:before="240" w:after="120"/>
        <w:ind w:firstLine="0"/>
        <w:jc w:val="left"/>
      </w:pPr>
      <w:r>
        <w:rPr>
          <w:rFonts w:ascii="黑体" w:hAnsi="黑体" w:eastAsia="黑体"/>
          <w:b/>
          <w:sz w:val="32"/>
        </w:rPr>
        <w:t>1  绪论</w:t>
      </w:r>
    </w:p>
    <w:p>
      <w:pPr>
        <w:spacing w:before="240" w:after="120"/>
        <w:ind w:firstLine="0"/>
        <w:jc w:val="left"/>
      </w:pPr>
      <w:r>
        <w:rPr>
          <w:rFonts w:ascii="黑体" w:hAnsi="黑体" w:eastAsia="黑体"/>
          <w:b/>
          <w:sz w:val="28"/>
        </w:rPr>
        <w:t>1.1  研究背景与意义</w:t>
      </w:r>
    </w:p>
    <w:p>
      <w:pPr>
        <w:spacing w:before="0" w:after="120" w:line="440" w:lineRule="exact"/>
        <w:ind w:firstLine="480"/>
        <w:jc w:val="both"/>
      </w:pPr>
      <w:r>
        <w:rPr>
          <w:rFonts w:ascii="宋体" w:hAnsi="宋体" w:eastAsia="宋体"/>
          <w:b w:val="0"/>
          <w:sz w:val="24"/>
        </w:rPr>
        <w:t>当前，我国城市化进程持续加速，机动车保有量快速增长，城市道路交通承压明显。特别是在一线及新一线城市的核心区域，早晚高峰时段车辆通行速度常低于20 km/h，由此带来的时间延误、能源消耗及尾气排放等问题已成为制约城市可持续发展的重要障碍。在此背景下，智能交通系统（Intelligent Transportation System，ITS）的建设与应用受到政府及学术界的广泛重视。</w:t>
      </w:r>
    </w:p>
    <w:p>
      <w:pPr>
        <w:spacing w:before="0" w:after="120" w:line="440" w:lineRule="exact"/>
        <w:ind w:firstLine="480"/>
        <w:jc w:val="both"/>
      </w:pPr>
      <w:r>
        <w:rPr>
          <w:rFonts w:ascii="宋体" w:hAnsi="宋体" w:eastAsia="宋体"/>
          <w:b w:val="0"/>
          <w:sz w:val="24"/>
        </w:rPr>
        <w:t>短时交通流量预测（Short-Term Traffic Flow Prediction）是ITS的核心功能模块之一，旨在对未来15分钟至1小时内路段流量、平均车速、车辆占有率等关键指标进行动态预估。准确的交通流量预测结果可为交通管理提供决策支持：在信号控制层面，可实现绿波带的自适应调节；在诱导层面，可提前疏导拥堵路段车辆；在公交调度层面，可优化班次密度。已有案例表明，预测精度的提升能显著改善通行效率——以杭州城市大脑交通模块为例，预测误差每降低1%，核心区通行效率可提高3%—5%。</w:t>
      </w:r>
    </w:p>
    <w:p>
      <w:pPr>
        <w:spacing w:before="0" w:after="120" w:line="440" w:lineRule="exact"/>
        <w:ind w:firstLine="480"/>
        <w:jc w:val="both"/>
      </w:pPr>
      <w:r>
        <w:rPr>
          <w:rFonts w:ascii="宋体" w:hAnsi="宋体" w:eastAsia="宋体"/>
          <w:b w:val="0"/>
          <w:sz w:val="24"/>
        </w:rPr>
        <w:t>然而，交通流本身具有显著的非线性、时空关联性与随机波动特征，同时受天气状况、节假日安排、突发交通事故等多重外部因素影响，给预测模型的构建带来较大挑战。目前，预测模型已从早期的统计学方法（如ARIMA、Kalman滤波）演进至机器学习方法（如SVM、ANN），再到以LSTM、GRU为代表的深度学习方法。深度学习模型虽能自动提取时序特征，但其超参数（学习率、隐藏层神经元数、dropout率等）的设置严重依赖研究者经验，容易陷入局部最优，导致预测性能不稳定且难以复现。</w:t>
      </w:r>
    </w:p>
    <w:p>
      <w:pPr>
        <w:spacing w:before="0" w:after="120" w:line="440" w:lineRule="exact"/>
        <w:ind w:firstLine="480"/>
        <w:jc w:val="both"/>
      </w:pPr>
      <w:r>
        <w:rPr>
          <w:rFonts w:ascii="宋体" w:hAnsi="宋体" w:eastAsia="宋体"/>
          <w:b w:val="0"/>
          <w:sz w:val="24"/>
        </w:rPr>
        <w:t>网格搜索（Grid Search）是一种系统化的超参数优化方法，通过遍历预设参数空间中的所有组合，结合交叉验证评估各组合的泛化性能，从而客观确定最优参数配置。相比人工调参，网格搜索具有客观性强、结果可复现等优势；相比遗传算法等启发式方法，其实现简便，无需额外调整算法自身参数，尤其适合参数维度较低（≤4维）的场景。</w:t>
      </w:r>
    </w:p>
    <w:p>
      <w:pPr>
        <w:spacing w:before="0" w:after="120" w:line="440" w:lineRule="exact"/>
        <w:ind w:firstLine="480"/>
        <w:jc w:val="both"/>
      </w:pPr>
      <w:r>
        <w:rPr>
          <w:rFonts w:ascii="宋体" w:hAnsi="宋体" w:eastAsia="宋体"/>
          <w:b w:val="0"/>
          <w:sz w:val="24"/>
        </w:rPr>
        <w:t>综上，本研究尝试将网格搜索方法系统应用于LSTM、Bi-GRU、ARIMA三类典型短时交通量预测模型的参数优化，构建精度—稳定性双重评价体系，以期在提升预测精度的同时增强模型鲁棒性，为智能交通系统的实际工程应用提供可复现的参数优化方案。</w:t>
      </w:r>
    </w:p>
    <w:p>
      <w:pPr>
        <w:spacing w:before="240" w:after="120"/>
        <w:ind w:firstLine="0"/>
        <w:jc w:val="left"/>
      </w:pPr>
      <w:r>
        <w:rPr>
          <w:rFonts w:ascii="黑体" w:hAnsi="黑体" w:eastAsia="黑体"/>
          <w:b/>
          <w:sz w:val="28"/>
        </w:rPr>
        <w:t>1.2  国内外研究现状</w:t>
      </w:r>
    </w:p>
    <w:p>
      <w:pPr>
        <w:spacing w:before="240" w:after="120"/>
        <w:ind w:firstLine="0"/>
        <w:jc w:val="left"/>
      </w:pPr>
      <w:r>
        <w:rPr>
          <w:rFonts w:ascii="黑体" w:hAnsi="黑体" w:eastAsia="黑体"/>
          <w:b/>
          <w:sz w:val="26"/>
        </w:rPr>
        <w:t>1.2.1  短时交通量预测模型研究进展</w:t>
      </w:r>
    </w:p>
    <w:p>
      <w:pPr>
        <w:spacing w:before="0" w:after="120" w:line="440" w:lineRule="exact"/>
        <w:ind w:firstLine="480"/>
        <w:jc w:val="both"/>
      </w:pPr>
      <w:r>
        <w:rPr>
          <w:rFonts w:ascii="宋体" w:hAnsi="宋体" w:eastAsia="宋体"/>
          <w:b w:val="0"/>
          <w:sz w:val="24"/>
        </w:rPr>
        <w:t>（1）传统统计模型。以ARIMA为代表的时间序列模型最早被应用于交通流量预测，其理论成熟、可解释性强，适用于平稳线性序列的短期预测。Kalman滤波可实现流量状态的动态更新，但在流量突变情形下误差较大。总体上，传统统计模型对非线性流量特征的建模能力有限，难以有效捕捉早晚高峰等典型非线性变化模式。</w:t>
      </w:r>
    </w:p>
    <w:p>
      <w:pPr>
        <w:spacing w:before="0" w:after="120" w:line="440" w:lineRule="exact"/>
        <w:ind w:firstLine="480"/>
        <w:jc w:val="both"/>
      </w:pPr>
      <w:r>
        <w:rPr>
          <w:rFonts w:ascii="宋体" w:hAnsi="宋体" w:eastAsia="宋体"/>
          <w:b w:val="0"/>
          <w:sz w:val="24"/>
        </w:rPr>
        <w:t>（2）机器学习模型。SVM通过核函数将低维特征映射至高维空间，具备一定非线性建模能力，但其性能高度依赖核函数类型与惩罚系数C的选取；ANN结构灵活，但面临过拟合风险，且隐藏层神经元数等超参数的设置缺乏系统依据。</w:t>
      </w:r>
    </w:p>
    <w:p>
      <w:pPr>
        <w:spacing w:before="0" w:after="120" w:line="440" w:lineRule="exact"/>
        <w:ind w:firstLine="480"/>
        <w:jc w:val="both"/>
      </w:pPr>
      <w:r>
        <w:rPr>
          <w:rFonts w:ascii="宋体" w:hAnsi="宋体" w:eastAsia="宋体"/>
          <w:b w:val="0"/>
          <w:sz w:val="24"/>
        </w:rPr>
        <w:t>（3）深度学习模型。LSTM通过门控机制克服了RNN长程依赖消失的问题，在小时级、5分钟粒度預測任务中均取得较好效果。GRU作为LSTM的简化变体，参数更少、训练更快。Bi-GRU通过双向序列建模，能同时捕获交通流的前向与后向时序特征，在多个公开数据集上优于单向GRU。此外，融合图卷积的STGCN等时空图网络模型在路网级多节点预测中表现突出，但模型复杂度高，对计算资源要求较高。</w:t>
      </w:r>
    </w:p>
    <w:p>
      <w:pPr>
        <w:spacing w:before="240" w:after="120"/>
        <w:ind w:firstLine="0"/>
        <w:jc w:val="left"/>
      </w:pPr>
      <w:r>
        <w:rPr>
          <w:rFonts w:ascii="黑体" w:hAnsi="黑体" w:eastAsia="黑体"/>
          <w:b/>
          <w:sz w:val="26"/>
        </w:rPr>
        <w:t>1.2.2  参数优化方法研究进展</w:t>
      </w:r>
    </w:p>
    <w:p>
      <w:pPr>
        <w:spacing w:before="0" w:after="120" w:line="440" w:lineRule="exact"/>
        <w:ind w:firstLine="480"/>
        <w:jc w:val="both"/>
      </w:pPr>
      <w:r>
        <w:rPr>
          <w:rFonts w:ascii="宋体" w:hAnsi="宋体" w:eastAsia="宋体"/>
          <w:b w:val="0"/>
          <w:sz w:val="24"/>
        </w:rPr>
        <w:t>现有交通预测模型的超参数优化方法主要分为以下三类：一是经验调参，即研究者依据先验知识手动设置参数，效率低且结果主观性强；二是启发式优化算法，如粒子群优化（PSO）、麻雀搜索算法（SSA）等，具有全局搜索能力，但算法自身参数繁多，收敛速度较慢；三是网格搜索与随机搜索，前者系统遍历参数组合，适用于低维参数空间，后者通过随机采样提升效率，但结果稳定性较差。目前，网格搜索在图像分类、文本分析等领域已有成熟应用，但在深度学习交通预测模型中的系统性研究仍较匮乏。</w:t>
      </w:r>
    </w:p>
    <w:p>
      <w:pPr>
        <w:spacing w:before="240" w:after="120"/>
        <w:ind w:firstLine="0"/>
        <w:jc w:val="left"/>
      </w:pPr>
      <w:r>
        <w:rPr>
          <w:rFonts w:ascii="黑体" w:hAnsi="黑体" w:eastAsia="黑体"/>
          <w:b/>
          <w:sz w:val="28"/>
        </w:rPr>
        <w:t>1.3  研究内容与创新点</w:t>
      </w:r>
    </w:p>
    <w:p>
      <w:pPr>
        <w:spacing w:before="0" w:after="120" w:line="440" w:lineRule="exact"/>
        <w:ind w:firstLine="480"/>
        <w:jc w:val="both"/>
      </w:pPr>
      <w:r>
        <w:rPr>
          <w:rFonts w:ascii="宋体" w:hAnsi="宋体" w:eastAsia="宋体"/>
          <w:b w:val="0"/>
          <w:sz w:val="24"/>
        </w:rPr>
        <w:t>本研究的主要内容如下：</w:t>
      </w:r>
    </w:p>
    <w:p>
      <w:pPr>
        <w:spacing w:before="0" w:after="120" w:line="440" w:lineRule="exact"/>
        <w:ind w:firstLine="480"/>
        <w:jc w:val="both"/>
      </w:pPr>
      <w:r>
        <w:rPr>
          <w:rFonts w:ascii="宋体" w:hAnsi="宋体" w:eastAsia="宋体"/>
          <w:b w:val="0"/>
          <w:sz w:val="24"/>
        </w:rPr>
        <w:t>（1）数据预处理：基于PeMS数据集，完成缺失值插值、3σ异常检测与替换、归一化及滚动窗口特征构建，为模型训练提供高质量输入。</w:t>
      </w:r>
    </w:p>
    <w:p>
      <w:pPr>
        <w:spacing w:before="0" w:after="120" w:line="440" w:lineRule="exact"/>
        <w:ind w:firstLine="480"/>
        <w:jc w:val="both"/>
      </w:pPr>
      <w:r>
        <w:rPr>
          <w:rFonts w:ascii="宋体" w:hAnsi="宋体" w:eastAsia="宋体"/>
          <w:b w:val="0"/>
          <w:sz w:val="24"/>
        </w:rPr>
        <w:t>（2）基线模型构建：采用经验参数搭建LSTM、Bi-GRU、ARIMA三类基线模型，作为对照实验组。</w:t>
      </w:r>
    </w:p>
    <w:p>
      <w:pPr>
        <w:spacing w:before="0" w:after="120" w:line="440" w:lineRule="exact"/>
        <w:ind w:firstLine="480"/>
        <w:jc w:val="both"/>
      </w:pPr>
      <w:r>
        <w:rPr>
          <w:rFonts w:ascii="宋体" w:hAnsi="宋体" w:eastAsia="宋体"/>
          <w:b w:val="0"/>
          <w:sz w:val="24"/>
        </w:rPr>
        <w:t>（3）网格搜索优化：针对三类模型设计多维度参数网格，结合5折交叉验证系统筛选最优参数配置，并与随机搜索方法进行对比。</w:t>
      </w:r>
    </w:p>
    <w:p>
      <w:pPr>
        <w:spacing w:before="0" w:after="120" w:line="440" w:lineRule="exact"/>
        <w:ind w:firstLine="480"/>
        <w:jc w:val="both"/>
      </w:pPr>
      <w:r>
        <w:rPr>
          <w:rFonts w:ascii="宋体" w:hAnsi="宋体" w:eastAsia="宋体"/>
          <w:b w:val="0"/>
          <w:sz w:val="24"/>
        </w:rPr>
        <w:t>（4）实验验证：在测试集上采用RMSE、MAE、MAPE、R²四类指标全面评估优化前—随机搜索—网格搜索三组实验的预测性能差异，并针对高峰时段等特殊场景开展鲁棒性分析。</w:t>
      </w:r>
    </w:p>
    <w:p>
      <w:pPr>
        <w:spacing w:before="0" w:after="120" w:line="440" w:lineRule="exact"/>
        <w:ind w:firstLine="480"/>
        <w:jc w:val="both"/>
      </w:pPr>
      <w:r>
        <w:rPr>
          <w:rFonts w:ascii="宋体" w:hAnsi="宋体" w:eastAsia="宋体"/>
          <w:b w:val="0"/>
          <w:sz w:val="24"/>
        </w:rPr>
        <w:t>本研究的创新点在于：首次系统构建针对LSTM与Bi-GRU深度学习模型的多维度参数网格（涵盖隐藏层神经元数、学习率、dropout率、批次大小等）并应用于短时交通量预测；同时引入精度—稳定性双重评价体系，弥补了现有研究仅关注预测精度而忽视模型稳定性的不足。</w:t>
      </w:r>
    </w:p>
    <w:p>
      <w:pPr>
        <w:spacing w:before="240" w:after="120"/>
        <w:ind w:firstLine="0"/>
        <w:jc w:val="left"/>
      </w:pPr>
      <w:r>
        <w:rPr>
          <w:rFonts w:ascii="黑体" w:hAnsi="黑体" w:eastAsia="黑体"/>
          <w:b/>
          <w:sz w:val="28"/>
        </w:rPr>
        <w:t>1.4  论文结构安排</w:t>
      </w:r>
    </w:p>
    <w:p>
      <w:pPr>
        <w:spacing w:before="0" w:after="120" w:line="440" w:lineRule="exact"/>
        <w:ind w:firstLine="480"/>
        <w:jc w:val="both"/>
      </w:pPr>
      <w:r>
        <w:rPr>
          <w:rFonts w:ascii="宋体" w:hAnsi="宋体" w:eastAsia="宋体"/>
          <w:b w:val="0"/>
          <w:sz w:val="24"/>
        </w:rPr>
        <w:t>本文共分为五章。第1章为绪论，阐述研究背景、意义及国内外现状；第2章介绍ARIMA、LSTM、Bi-GRU及网格搜索的理论基础；第3章描述数据来源与预处理流程；第4章设计实验方案并分析结果；第5章总结研究结论并展望未来工作。</w:t>
      </w:r>
    </w:p>
    <w:p>
      <w:r>
        <w:br w:type="page"/>
      </w:r>
    </w:p>
    <w:p>
      <w:pPr>
        <w:spacing w:before="240" w:after="120"/>
        <w:ind w:firstLine="0"/>
        <w:jc w:val="left"/>
      </w:pPr>
      <w:r>
        <w:rPr>
          <w:rFonts w:ascii="黑体" w:hAnsi="黑体" w:eastAsia="黑体"/>
          <w:b/>
          <w:sz w:val="32"/>
        </w:rPr>
        <w:t>2  理论基础与方法</w:t>
      </w:r>
    </w:p>
    <w:p>
      <w:pPr>
        <w:spacing w:before="240" w:after="120"/>
        <w:ind w:firstLine="0"/>
        <w:jc w:val="left"/>
      </w:pPr>
      <w:r>
        <w:rPr>
          <w:rFonts w:ascii="黑体" w:hAnsi="黑体" w:eastAsia="黑体"/>
          <w:b/>
          <w:sz w:val="28"/>
        </w:rPr>
        <w:t>2.1  ARIMA模型</w:t>
      </w:r>
    </w:p>
    <w:p>
      <w:pPr>
        <w:spacing w:before="0" w:after="120" w:line="440" w:lineRule="exact"/>
        <w:ind w:firstLine="480"/>
        <w:jc w:val="both"/>
      </w:pPr>
      <w:r>
        <w:rPr>
          <w:rFonts w:ascii="宋体" w:hAnsi="宋体" w:eastAsia="宋体"/>
          <w:b w:val="0"/>
          <w:sz w:val="24"/>
        </w:rPr>
        <w:t>自回归积分滑动平均模型（Autoregressive Integrated Moving Average，ARIMA）由Box和Jenkins于1976年提出，是处理非平稳时间序列预测的经典统计方法。ARIMA(p,d,q)模型由三个参数刻画：自回归阶数p表示当前值与过去p个时刻观测值之间的线性关系；差分阶数d表示使序列平稳所需的差分次数；移动平均阶数q表示当前值与过去q个残差之间的线性关系。</w:t>
      </w:r>
    </w:p>
    <w:p>
      <w:pPr>
        <w:spacing w:before="0" w:after="120" w:line="440" w:lineRule="exact"/>
        <w:ind w:firstLine="480"/>
        <w:jc w:val="both"/>
      </w:pPr>
      <w:r>
        <w:rPr>
          <w:rFonts w:ascii="宋体" w:hAnsi="宋体" w:eastAsia="宋体"/>
          <w:b w:val="0"/>
          <w:sz w:val="24"/>
        </w:rPr>
        <w:t>ARIMA模型的数学表达式为：</w:t>
      </w:r>
    </w:p>
    <w:p>
      <w:pPr>
        <w:spacing w:before="0" w:after="120" w:line="440" w:lineRule="exact"/>
        <w:ind w:firstLine="480"/>
        <w:jc w:val="both"/>
      </w:pPr>
      <w:r>
        <w:rPr>
          <w:rFonts w:ascii="宋体" w:hAnsi="宋体" w:eastAsia="宋体"/>
          <w:b w:val="0"/>
          <w:sz w:val="24"/>
        </w:rPr>
        <w:t xml:space="preserve">    φ(B)∇ᵈXₜ = θ(B)εₜ</w:t>
      </w:r>
    </w:p>
    <w:p>
      <w:pPr>
        <w:spacing w:before="0" w:after="120" w:line="440" w:lineRule="exact"/>
        <w:ind w:firstLine="480"/>
        <w:jc w:val="both"/>
      </w:pPr>
      <w:r>
        <w:rPr>
          <w:rFonts w:ascii="宋体" w:hAnsi="宋体" w:eastAsia="宋体"/>
          <w:b w:val="0"/>
          <w:sz w:val="24"/>
        </w:rPr>
        <w:t>其中，φ(B) = 1 − φ₁B − φ₂B² − ⋯ − φₚBᵖ 为自回归算子；θ(B) = 1 + θ₁B + θ₂B² + ⋯ + θqBq 为移动平均算子；B为后移算子（BXₜ = Xₜ₋₁）；∇ᵈ为d阶差分算子；εₜ为白噪声序列。ARIMA模型的参数估计通常采用最大似然估计法，AIC或BIC准则用于模型阶次的选取。本研究采用网格搜索对p∈{1,2,3}、d∈{0,1}、q∈{1,2,3}进行系统遍历，以验证集RMSE作为模型选择准则。</w:t>
      </w:r>
    </w:p>
    <w:p>
      <w:pPr>
        <w:spacing w:before="240" w:after="120"/>
        <w:ind w:firstLine="0"/>
        <w:jc w:val="left"/>
      </w:pPr>
      <w:r>
        <w:rPr>
          <w:rFonts w:ascii="黑体" w:hAnsi="黑体" w:eastAsia="黑体"/>
          <w:b/>
          <w:sz w:val="28"/>
        </w:rPr>
        <w:t>2.2  LSTM模型</w:t>
      </w:r>
    </w:p>
    <w:p>
      <w:pPr>
        <w:spacing w:before="0" w:after="120" w:line="440" w:lineRule="exact"/>
        <w:ind w:firstLine="480"/>
        <w:jc w:val="both"/>
      </w:pPr>
      <w:r>
        <w:rPr>
          <w:rFonts w:ascii="宋体" w:hAnsi="宋体" w:eastAsia="宋体"/>
          <w:b w:val="0"/>
          <w:sz w:val="24"/>
        </w:rPr>
        <w:t>长短期记忆网络（Long Short-Term Memory，LSTM）由Hochreiter和Schmidhuber于1997年提出，是一种专为解决循环神经网络（RNN）长程依赖消失问题而设计的门控循环单元结构。LSTM在标准RNN的隐藏层中引入了遗忘门（Forget Gate）、输入门（Input Gate）和输出门（Output Gate）三种门控机制，通过细胞状态（Cell State）在序列中传递长程信息。</w:t>
      </w:r>
    </w:p>
    <w:p>
      <w:pPr>
        <w:spacing w:before="0" w:after="120" w:line="440" w:lineRule="exact"/>
        <w:ind w:firstLine="480"/>
        <w:jc w:val="both"/>
      </w:pPr>
      <w:r>
        <w:rPr>
          <w:rFonts w:ascii="宋体" w:hAnsi="宋体" w:eastAsia="宋体"/>
          <w:b w:val="0"/>
          <w:sz w:val="24"/>
        </w:rPr>
        <w:t>LSTM各门控的计算公式如下：</w:t>
      </w:r>
    </w:p>
    <w:p>
      <w:pPr>
        <w:spacing w:before="0" w:after="120" w:line="440" w:lineRule="exact"/>
        <w:ind w:firstLine="480"/>
        <w:jc w:val="both"/>
      </w:pPr>
      <w:r>
        <w:rPr>
          <w:rFonts w:ascii="宋体" w:hAnsi="宋体" w:eastAsia="宋体"/>
          <w:b w:val="0"/>
          <w:sz w:val="24"/>
        </w:rPr>
        <w:t>遗忘门：  fₜ = σ(Wf · [hₜ₋₁, xₜ] + bf)</w:t>
      </w:r>
    </w:p>
    <w:p>
      <w:pPr>
        <w:spacing w:before="0" w:after="120" w:line="440" w:lineRule="exact"/>
        <w:ind w:firstLine="480"/>
        <w:jc w:val="both"/>
      </w:pPr>
      <w:r>
        <w:rPr>
          <w:rFonts w:ascii="宋体" w:hAnsi="宋体" w:eastAsia="宋体"/>
          <w:b w:val="0"/>
          <w:sz w:val="24"/>
        </w:rPr>
        <w:t>输入门：  iₜ = σ(Wi · [hₜ₋₁, xₜ] + bi)</w:t>
      </w:r>
    </w:p>
    <w:p>
      <w:pPr>
        <w:spacing w:before="0" w:after="120" w:line="440" w:lineRule="exact"/>
        <w:ind w:firstLine="480"/>
        <w:jc w:val="both"/>
      </w:pPr>
      <w:r>
        <w:rPr>
          <w:rFonts w:ascii="宋体" w:hAnsi="宋体" w:eastAsia="宋体"/>
          <w:b w:val="0"/>
          <w:sz w:val="24"/>
        </w:rPr>
        <w:t>候选值：  C̃ₜ = tanh(Wc · [hₜ₋₁, xₜ] + bc)</w:t>
      </w:r>
    </w:p>
    <w:p>
      <w:pPr>
        <w:spacing w:before="0" w:after="120" w:line="440" w:lineRule="exact"/>
        <w:ind w:firstLine="480"/>
        <w:jc w:val="both"/>
      </w:pPr>
      <w:r>
        <w:rPr>
          <w:rFonts w:ascii="宋体" w:hAnsi="宋体" w:eastAsia="宋体"/>
          <w:b w:val="0"/>
          <w:sz w:val="24"/>
        </w:rPr>
        <w:t>细胞状态：Cₜ = fₜ ⊙ Cₜ₋₁ + iₜ ⊙ C̃ₜ</w:t>
      </w:r>
    </w:p>
    <w:p>
      <w:pPr>
        <w:spacing w:before="0" w:after="120" w:line="440" w:lineRule="exact"/>
        <w:ind w:firstLine="480"/>
        <w:jc w:val="both"/>
      </w:pPr>
      <w:r>
        <w:rPr>
          <w:rFonts w:ascii="宋体" w:hAnsi="宋体" w:eastAsia="宋体"/>
          <w:b w:val="0"/>
          <w:sz w:val="24"/>
        </w:rPr>
        <w:t>输出门：  oₜ = σ(Wo · [hₜ₋₁, xₜ] + bo)</w:t>
      </w:r>
    </w:p>
    <w:p>
      <w:pPr>
        <w:spacing w:before="0" w:after="120" w:line="440" w:lineRule="exact"/>
        <w:ind w:firstLine="480"/>
        <w:jc w:val="both"/>
      </w:pPr>
      <w:r>
        <w:rPr>
          <w:rFonts w:ascii="宋体" w:hAnsi="宋体" w:eastAsia="宋体"/>
          <w:b w:val="0"/>
          <w:sz w:val="24"/>
        </w:rPr>
        <w:t>隐藏状态：hₜ = oₜ ⊙ tanh(Cₜ)</w:t>
      </w:r>
    </w:p>
    <w:p>
      <w:pPr>
        <w:spacing w:before="0" w:after="120" w:line="440" w:lineRule="exact"/>
        <w:ind w:firstLine="480"/>
        <w:jc w:val="both"/>
      </w:pPr>
      <w:r>
        <w:rPr>
          <w:rFonts w:ascii="宋体" w:hAnsi="宋体" w:eastAsia="宋体"/>
          <w:b w:val="0"/>
          <w:sz w:val="24"/>
        </w:rPr>
        <w:t>其中，σ为Sigmoid激活函数；⊙为Hadamard积；W和b分别为权重矩阵和偏置向量。本研究对LSTM模型的隐藏层神经元数（32/64/128）、学习率（0.001/0.01/0.1）、dropout率（0.1/0.2/0.3）、批次大小（16/32/64）四个关键超参数进行网格搜索优化，参数组合总数为3×3×3×3=81组。</w:t>
      </w:r>
    </w:p>
    <w:p>
      <w:pPr>
        <w:spacing w:before="240" w:after="120"/>
        <w:ind w:firstLine="0"/>
        <w:jc w:val="left"/>
      </w:pPr>
      <w:r>
        <w:rPr>
          <w:rFonts w:ascii="黑体" w:hAnsi="黑体" w:eastAsia="黑体"/>
          <w:b/>
          <w:sz w:val="28"/>
        </w:rPr>
        <w:t>2.3  Bi-GRU模型</w:t>
      </w:r>
    </w:p>
    <w:p>
      <w:pPr>
        <w:spacing w:before="0" w:after="120" w:line="440" w:lineRule="exact"/>
        <w:ind w:firstLine="480"/>
        <w:jc w:val="both"/>
      </w:pPr>
      <w:r>
        <w:rPr>
          <w:rFonts w:ascii="宋体" w:hAnsi="宋体" w:eastAsia="宋体"/>
          <w:b w:val="0"/>
          <w:sz w:val="24"/>
        </w:rPr>
        <w:t>门控循环单元（Gated Recurrent Unit，GRU）是LSTM的简化变体，由Cho等人于2014年提出。GRU将遗忘门与输入门合并为更新门（Update Gate），并取消了细胞状态，从而在保持序列建模能力的同时减少了参数数量。双向GRU（Bi-GRU）通过同时运行前向和后向两个GRU，将两个方向的隐藏状态拼接，使模型能够同时利用过去和未来的时序信息。</w:t>
      </w:r>
    </w:p>
    <w:p>
      <w:pPr>
        <w:spacing w:before="0" w:after="120" w:line="440" w:lineRule="exact"/>
        <w:ind w:firstLine="480"/>
        <w:jc w:val="both"/>
      </w:pPr>
      <w:r>
        <w:rPr>
          <w:rFonts w:ascii="宋体" w:hAnsi="宋体" w:eastAsia="宋体"/>
          <w:b w:val="0"/>
          <w:sz w:val="24"/>
        </w:rPr>
        <w:t>GRU的核心计算公式如下：</w:t>
      </w:r>
    </w:p>
    <w:p>
      <w:pPr>
        <w:spacing w:before="0" w:after="120" w:line="440" w:lineRule="exact"/>
        <w:ind w:firstLine="480"/>
        <w:jc w:val="both"/>
      </w:pPr>
      <w:r>
        <w:rPr>
          <w:rFonts w:ascii="宋体" w:hAnsi="宋体" w:eastAsia="宋体"/>
          <w:b w:val="0"/>
          <w:sz w:val="24"/>
        </w:rPr>
        <w:t>更新门：  zₜ = σ(Wz · [hₜ₋₁, xₜ])</w:t>
      </w:r>
    </w:p>
    <w:p>
      <w:pPr>
        <w:spacing w:before="0" w:after="120" w:line="440" w:lineRule="exact"/>
        <w:ind w:firstLine="480"/>
        <w:jc w:val="both"/>
      </w:pPr>
      <w:r>
        <w:rPr>
          <w:rFonts w:ascii="宋体" w:hAnsi="宋体" w:eastAsia="宋体"/>
          <w:b w:val="0"/>
          <w:sz w:val="24"/>
        </w:rPr>
        <w:t>重置门：  rₜ = σ(Wr · [hₜ₋₁, xₜ])</w:t>
      </w:r>
    </w:p>
    <w:p>
      <w:pPr>
        <w:spacing w:before="0" w:after="120" w:line="440" w:lineRule="exact"/>
        <w:ind w:firstLine="480"/>
        <w:jc w:val="both"/>
      </w:pPr>
      <w:r>
        <w:rPr>
          <w:rFonts w:ascii="宋体" w:hAnsi="宋体" w:eastAsia="宋体"/>
          <w:b w:val="0"/>
          <w:sz w:val="24"/>
        </w:rPr>
        <w:t>候选状态：h̃ₜ = tanh(W · [rₜ ⊙ hₜ₋₁, xₜ])</w:t>
      </w:r>
    </w:p>
    <w:p>
      <w:pPr>
        <w:spacing w:before="0" w:after="120" w:line="440" w:lineRule="exact"/>
        <w:ind w:firstLine="480"/>
        <w:jc w:val="both"/>
      </w:pPr>
      <w:r>
        <w:rPr>
          <w:rFonts w:ascii="宋体" w:hAnsi="宋体" w:eastAsia="宋体"/>
          <w:b w:val="0"/>
          <w:sz w:val="24"/>
        </w:rPr>
        <w:t>隐藏状态：hₜ = (1 − zₜ) ⊙ hₜ₋₁ + zₜ ⊙ h̃ₜ</w:t>
      </w:r>
    </w:p>
    <w:p>
      <w:pPr>
        <w:spacing w:before="0" w:after="120" w:line="440" w:lineRule="exact"/>
        <w:ind w:firstLine="480"/>
        <w:jc w:val="both"/>
      </w:pPr>
      <w:r>
        <w:rPr>
          <w:rFonts w:ascii="宋体" w:hAnsi="宋体" w:eastAsia="宋体"/>
          <w:b w:val="0"/>
          <w:sz w:val="24"/>
        </w:rPr>
        <w:t>Bi-GRU的最终输出为前向隐藏状态 h→ₜ 与后向隐藏状态 h←ₜ 的拼接：hₜ = [h→ₜ; h←ₜ]。本研究对Bi-GRU模型的双向隐藏层神经元数（32/64）、学习率（0.001/0.01）、迭代次数（50/100/150）进行网格搜索，参数组合总数为2×2×3=12组。</w:t>
      </w:r>
    </w:p>
    <w:p>
      <w:pPr>
        <w:spacing w:before="240" w:after="120"/>
        <w:ind w:firstLine="0"/>
        <w:jc w:val="left"/>
      </w:pPr>
      <w:r>
        <w:rPr>
          <w:rFonts w:ascii="黑体" w:hAnsi="黑体" w:eastAsia="黑体"/>
          <w:b/>
          <w:sz w:val="28"/>
        </w:rPr>
        <w:t>2.4  网格搜索与交叉验证</w:t>
      </w:r>
    </w:p>
    <w:p>
      <w:pPr>
        <w:spacing w:before="0" w:after="120" w:line="440" w:lineRule="exact"/>
        <w:ind w:firstLine="480"/>
        <w:jc w:val="both"/>
      </w:pPr>
      <w:r>
        <w:rPr>
          <w:rFonts w:ascii="宋体" w:hAnsi="宋体" w:eastAsia="宋体"/>
          <w:b w:val="0"/>
          <w:sz w:val="24"/>
        </w:rPr>
        <w:t>网格搜索（Grid Search）是一种穷举式超参数优化策略。给定各超参数的候选值集合，网格搜索构造所有参数组合的笛卡尔积，对每种组合进行模型训练与评估，最终选取评估指标最优的参数配置。设参数空间为 Λ = Λ₁ × Λ₂ × ⋯ × Λₖ，则需评估的组合总数为∏ᵢ|Λᵢ|，其中|Λᵢ|表示第i维参数的候选值数量。</w:t>
      </w:r>
    </w:p>
    <w:p>
      <w:pPr>
        <w:spacing w:before="0" w:after="120" w:line="440" w:lineRule="exact"/>
        <w:ind w:firstLine="480"/>
        <w:jc w:val="both"/>
      </w:pPr>
      <w:r>
        <w:rPr>
          <w:rFonts w:ascii="宋体" w:hAnsi="宋体" w:eastAsia="宋体"/>
          <w:b w:val="0"/>
          <w:sz w:val="24"/>
        </w:rPr>
        <w:t>为避免过拟合及对评估结果的乐观估计，本研究采用K折交叉验证（K-Fold Cross Validation，K=5）评估每组参数配置的模型泛化能力。具体流程如下：将训练集按时序均匀划分为5个子集；依次以其中1个子集为验证折、其余4个为训练折，共训练5次；取5次验证集RMSE的均值作为该参数组合的交叉验证得分；最终选取CV-RMSE最小的参数组合作为最优配置，在全量训练集上重新训练并在独立测试集上评估。</w:t>
      </w:r>
    </w:p>
    <w:p>
      <w:r>
        <w:br w:type="page"/>
      </w:r>
    </w:p>
    <w:p>
      <w:pPr>
        <w:spacing w:before="240" w:after="120"/>
        <w:ind w:firstLine="0"/>
        <w:jc w:val="left"/>
      </w:pPr>
      <w:r>
        <w:rPr>
          <w:rFonts w:ascii="黑体" w:hAnsi="黑体" w:eastAsia="黑体"/>
          <w:b/>
          <w:sz w:val="32"/>
        </w:rPr>
        <w:t>3  数据与预处理</w:t>
      </w:r>
    </w:p>
    <w:p>
      <w:pPr>
        <w:spacing w:before="240" w:after="120"/>
        <w:ind w:firstLine="0"/>
        <w:jc w:val="left"/>
      </w:pPr>
      <w:r>
        <w:rPr>
          <w:rFonts w:ascii="黑体" w:hAnsi="黑体" w:eastAsia="黑体"/>
          <w:b/>
          <w:sz w:val="28"/>
        </w:rPr>
        <w:t>3.1  数据集介绍</w:t>
      </w:r>
    </w:p>
    <w:p>
      <w:pPr>
        <w:spacing w:before="0" w:after="120" w:line="440" w:lineRule="exact"/>
        <w:ind w:firstLine="480"/>
        <w:jc w:val="both"/>
      </w:pPr>
      <w:r>
        <w:rPr>
          <w:rFonts w:ascii="宋体" w:hAnsi="宋体" w:eastAsia="宋体"/>
          <w:b w:val="0"/>
          <w:sz w:val="24"/>
        </w:rPr>
        <w:t>本研究采用美国加州交通局（Caltrans）发布的PeMS（Performance Measurement System）公开数据集。PeMS通过遍布全州高速公路的固定式感应线圈检测器，以30秒为原始采样粒度采集路段流量（辆/5分钟）、平均速度（km/h）和车辆占有率等指标，并聚合为5分钟及15分钟粒度。本研究选取5分钟粒度数据，覆盖某一典型高速公路检测站连续90天（含工作日、周末、节假日）的记录，总计约25,920条时间步。</w:t>
      </w:r>
    </w:p>
    <w:p>
      <w:pPr>
        <w:spacing w:before="0" w:after="120" w:line="440" w:lineRule="exact"/>
        <w:ind w:firstLine="480"/>
        <w:jc w:val="both"/>
      </w:pPr>
      <w:r>
        <w:rPr>
          <w:rFonts w:ascii="宋体" w:hAnsi="宋体" w:eastAsia="宋体"/>
          <w:b w:val="0"/>
          <w:sz w:val="24"/>
        </w:rPr>
        <w:t>数据集的基本统计特征如表3-1所示。从统计结果可以看出，流量数据具有明显的双峰分布特征（对应早晚高峰），标准差较大，反映了交通流的强时变性。</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tcPr>
          <w:p>
            <w:r>
              <w:rPr>
                <w:b/>
              </w:rPr>
              <w:t>指标</w:t>
            </w:r>
          </w:p>
        </w:tc>
        <w:tc>
          <w:tcPr>
            <w:tcW w:type="dxa" w:w="1758"/>
          </w:tcPr>
          <w:p>
            <w:r>
              <w:rPr>
                <w:b/>
              </w:rPr>
              <w:t>最小值</w:t>
            </w:r>
          </w:p>
        </w:tc>
        <w:tc>
          <w:tcPr>
            <w:tcW w:type="dxa" w:w="1758"/>
          </w:tcPr>
          <w:p>
            <w:r>
              <w:rPr>
                <w:b/>
              </w:rPr>
              <w:t>最大值</w:t>
            </w:r>
          </w:p>
        </w:tc>
        <w:tc>
          <w:tcPr>
            <w:tcW w:type="dxa" w:w="1758"/>
          </w:tcPr>
          <w:p>
            <w:r>
              <w:rPr>
                <w:b/>
              </w:rPr>
              <w:t>均值</w:t>
            </w:r>
          </w:p>
        </w:tc>
        <w:tc>
          <w:tcPr>
            <w:tcW w:type="dxa" w:w="1758"/>
          </w:tcPr>
          <w:p>
            <w:r>
              <w:rPr>
                <w:b/>
              </w:rPr>
              <w:t>标准差</w:t>
            </w:r>
          </w:p>
        </w:tc>
      </w:tr>
      <w:tr>
        <w:tc>
          <w:tcPr>
            <w:tcW w:type="dxa" w:w="1758"/>
          </w:tcPr>
          <w:p>
            <w:r>
              <w:t>流量（辆/5min）</w:t>
            </w:r>
          </w:p>
        </w:tc>
        <w:tc>
          <w:tcPr>
            <w:tcW w:type="dxa" w:w="1758"/>
          </w:tcPr>
          <w:p>
            <w:r>
              <w:t>0</w:t>
            </w:r>
          </w:p>
        </w:tc>
        <w:tc>
          <w:tcPr>
            <w:tcW w:type="dxa" w:w="1758"/>
          </w:tcPr>
          <w:p>
            <w:r>
              <w:t>856</w:t>
            </w:r>
          </w:p>
        </w:tc>
        <w:tc>
          <w:tcPr>
            <w:tcW w:type="dxa" w:w="1758"/>
          </w:tcPr>
          <w:p>
            <w:r>
              <w:t>423.6</w:t>
            </w:r>
          </w:p>
        </w:tc>
        <w:tc>
          <w:tcPr>
            <w:tcW w:type="dxa" w:w="1758"/>
          </w:tcPr>
          <w:p>
            <w:r>
              <w:t>187.3</w:t>
            </w:r>
          </w:p>
        </w:tc>
      </w:tr>
      <w:tr>
        <w:tc>
          <w:tcPr>
            <w:tcW w:type="dxa" w:w="1758"/>
          </w:tcPr>
          <w:p>
            <w:r>
              <w:t>速度（km/h）</w:t>
            </w:r>
          </w:p>
        </w:tc>
        <w:tc>
          <w:tcPr>
            <w:tcW w:type="dxa" w:w="1758"/>
          </w:tcPr>
          <w:p>
            <w:r>
              <w:t>12.3</w:t>
            </w:r>
          </w:p>
        </w:tc>
        <w:tc>
          <w:tcPr>
            <w:tcW w:type="dxa" w:w="1758"/>
          </w:tcPr>
          <w:p>
            <w:r>
              <w:t>120.0</w:t>
            </w:r>
          </w:p>
        </w:tc>
        <w:tc>
          <w:tcPr>
            <w:tcW w:type="dxa" w:w="1758"/>
          </w:tcPr>
          <w:p>
            <w:r>
              <w:t>72.4</w:t>
            </w:r>
          </w:p>
        </w:tc>
        <w:tc>
          <w:tcPr>
            <w:tcW w:type="dxa" w:w="1758"/>
          </w:tcPr>
          <w:p>
            <w:r>
              <w:t>18.6</w:t>
            </w:r>
          </w:p>
        </w:tc>
      </w:tr>
      <w:tr>
        <w:tc>
          <w:tcPr>
            <w:tcW w:type="dxa" w:w="1758"/>
          </w:tcPr>
          <w:p>
            <w:r>
              <w:t>占有率</w:t>
            </w:r>
          </w:p>
        </w:tc>
        <w:tc>
          <w:tcPr>
            <w:tcW w:type="dxa" w:w="1758"/>
          </w:tcPr>
          <w:p>
            <w:r>
              <w:t>0.000</w:t>
            </w:r>
          </w:p>
        </w:tc>
        <w:tc>
          <w:tcPr>
            <w:tcW w:type="dxa" w:w="1758"/>
          </w:tcPr>
          <w:p>
            <w:r>
              <w:t>0.892</w:t>
            </w:r>
          </w:p>
        </w:tc>
        <w:tc>
          <w:tcPr>
            <w:tcW w:type="dxa" w:w="1758"/>
          </w:tcPr>
          <w:p>
            <w:r>
              <w:t>0.312</w:t>
            </w:r>
          </w:p>
        </w:tc>
        <w:tc>
          <w:tcPr>
            <w:tcW w:type="dxa" w:w="1758"/>
          </w:tcPr>
          <w:p>
            <w:r>
              <w:t>0.142</w:t>
            </w:r>
          </w:p>
        </w:tc>
      </w:tr>
      <w:tr>
        <w:tc>
          <w:tcPr>
            <w:tcW w:type="dxa" w:w="1758"/>
          </w:tcPr>
          <w:p>
            <w:r>
              <w:t>缺失率</w:t>
            </w:r>
          </w:p>
        </w:tc>
        <w:tc>
          <w:tcPr>
            <w:tcW w:type="dxa" w:w="1758"/>
          </w:tcPr>
          <w:p>
            <w:r>
              <w:t>—</w:t>
            </w:r>
          </w:p>
        </w:tc>
        <w:tc>
          <w:tcPr>
            <w:tcW w:type="dxa" w:w="1758"/>
          </w:tcPr>
          <w:p>
            <w:r>
              <w:t>—</w:t>
            </w:r>
          </w:p>
        </w:tc>
        <w:tc>
          <w:tcPr>
            <w:tcW w:type="dxa" w:w="1758"/>
          </w:tcPr>
          <w:p>
            <w:r>
              <w:t>1.8%</w:t>
            </w:r>
          </w:p>
        </w:tc>
        <w:tc>
          <w:tcPr>
            <w:tcW w:type="dxa" w:w="1758"/>
          </w:tcPr>
          <w:p>
            <w:r>
              <w:t>—</w:t>
            </w:r>
          </w:p>
        </w:tc>
      </w:tr>
    </w:tbl>
    <w:p>
      <w:pPr>
        <w:ind w:firstLine="0"/>
        <w:jc w:val="center"/>
      </w:pPr>
      <w:r>
        <w:rPr>
          <w:rFonts w:ascii="宋体" w:hAnsi="宋体" w:eastAsia="宋体"/>
          <w:b w:val="0"/>
          <w:sz w:val="22"/>
        </w:rPr>
        <w:t>表3-1  PeMS数据集基本统计特征</w:t>
      </w:r>
    </w:p>
    <w:p/>
    <w:p>
      <w:pPr>
        <w:spacing w:before="240" w:after="120"/>
        <w:ind w:firstLine="0"/>
        <w:jc w:val="left"/>
      </w:pPr>
      <w:r>
        <w:rPr>
          <w:rFonts w:ascii="黑体" w:hAnsi="黑体" w:eastAsia="黑体"/>
          <w:b/>
          <w:sz w:val="28"/>
        </w:rPr>
        <w:t>3.2  数据清洗与异常检测</w:t>
      </w:r>
    </w:p>
    <w:p>
      <w:pPr>
        <w:spacing w:before="0" w:after="120" w:line="440" w:lineRule="exact"/>
        <w:ind w:firstLine="480"/>
        <w:jc w:val="both"/>
      </w:pPr>
      <w:r>
        <w:rPr>
          <w:rFonts w:ascii="宋体" w:hAnsi="宋体" w:eastAsia="宋体"/>
          <w:b w:val="0"/>
          <w:sz w:val="24"/>
        </w:rPr>
        <w:t>（1）缺失值处理。统计发现，数据集中流量指标缺失率约为1.8%，主要由感应线圈故障或数据传输中断引起。对于孤立缺失点，采用线性插值法进行填补；对于连续缺失超过12个时间步（即1小时）的情形，先采用滑动平均（窗口大小12）估算均值，再以该均值为基础进行线性插值，以保留流量的趋势信息。</w:t>
      </w:r>
    </w:p>
    <w:p>
      <w:pPr>
        <w:spacing w:before="0" w:after="120" w:line="440" w:lineRule="exact"/>
        <w:ind w:firstLine="480"/>
        <w:jc w:val="both"/>
      </w:pPr>
      <w:r>
        <w:rPr>
          <w:rFonts w:ascii="宋体" w:hAnsi="宋体" w:eastAsia="宋体"/>
          <w:b w:val="0"/>
          <w:sz w:val="24"/>
        </w:rPr>
        <w:t>（2）异常值检测与替换。基于3σ原则，将偏离均值3个标准差以上的观测值标记为异常点。对于检测到的异常点（主要来源于交通事故期间的流量骤升及设备故障导致的零值），采用前后各6个时间步的中位数进行替代，以减少因数值突变对模型训练的干扰。经处理后，异常点比例由2.3%降至0.05%以下。</w:t>
      </w:r>
    </w:p>
    <w:p>
      <w:pPr>
        <w:spacing w:before="240" w:after="120"/>
        <w:ind w:firstLine="0"/>
        <w:jc w:val="left"/>
      </w:pPr>
      <w:r>
        <w:rPr>
          <w:rFonts w:ascii="黑体" w:hAnsi="黑体" w:eastAsia="黑体"/>
          <w:b/>
          <w:sz w:val="28"/>
        </w:rPr>
        <w:t>3.3  特征构建与数据划分</w:t>
      </w:r>
    </w:p>
    <w:p>
      <w:pPr>
        <w:spacing w:before="0" w:after="120" w:line="440" w:lineRule="exact"/>
        <w:ind w:firstLine="480"/>
        <w:jc w:val="both"/>
      </w:pPr>
      <w:r>
        <w:rPr>
          <w:rFonts w:ascii="宋体" w:hAnsi="宋体" w:eastAsia="宋体"/>
          <w:b w:val="0"/>
          <w:sz w:val="24"/>
        </w:rPr>
        <w:t>（1）归一化。为消除流量、速度、占有率等指标之间的量纲差异，将所有特征归一化至[0,1]区间：x̂ = (x − xₘᵢₙ)/(xₘₐₓ − xₘᵢₙ)。归一化参数（最大值与最小值）仅从训练集中估算，并统一应用于验证集与测试集，以避免数据泄露。</w:t>
      </w:r>
    </w:p>
    <w:p>
      <w:pPr>
        <w:spacing w:before="0" w:after="120" w:line="440" w:lineRule="exact"/>
        <w:ind w:firstLine="480"/>
        <w:jc w:val="both"/>
      </w:pPr>
      <w:r>
        <w:rPr>
          <w:rFonts w:ascii="宋体" w:hAnsi="宋体" w:eastAsia="宋体"/>
          <w:b w:val="0"/>
          <w:sz w:val="24"/>
        </w:rPr>
        <w:t>（2）滚动窗口特征构建。采用滚动窗口法将一维时序转化为监督学习样本：以过去30个时间步（即2.5小时）的归一化流量作为输入特征X∈ℝ³⁰，以下一个时间步（即5分钟后）的流量作为预测目标y∈ℝ¹，依次滑动构建全部样本。</w:t>
      </w:r>
    </w:p>
    <w:p>
      <w:pPr>
        <w:spacing w:before="0" w:after="120" w:line="440" w:lineRule="exact"/>
        <w:ind w:firstLine="480"/>
        <w:jc w:val="both"/>
      </w:pPr>
      <w:r>
        <w:rPr>
          <w:rFonts w:ascii="宋体" w:hAnsi="宋体" w:eastAsia="宋体"/>
          <w:b w:val="0"/>
          <w:sz w:val="24"/>
        </w:rPr>
        <w:t>（3）数据集划分。按时序顺序将全部样本以7:2:1的比例划分为训练集（70%，用于模型训练与网格搜索参数优化）、验证集（20%，用于参数组合筛选）和测试集（10%，用于最终性能评估），严格保持时间顺序以防止未来信息泄露至训练过程。</w:t>
      </w:r>
    </w:p>
    <w:p>
      <w:r>
        <w:br w:type="page"/>
      </w:r>
    </w:p>
    <w:p>
      <w:pPr>
        <w:spacing w:before="240" w:after="120"/>
        <w:ind w:firstLine="0"/>
        <w:jc w:val="left"/>
      </w:pPr>
      <w:r>
        <w:rPr>
          <w:rFonts w:ascii="黑体" w:hAnsi="黑体" w:eastAsia="黑体"/>
          <w:b/>
          <w:sz w:val="32"/>
        </w:rPr>
        <w:t>4  实验设计与结果分析</w:t>
      </w:r>
    </w:p>
    <w:p>
      <w:pPr>
        <w:spacing w:before="240" w:after="120"/>
        <w:ind w:firstLine="0"/>
        <w:jc w:val="left"/>
      </w:pPr>
      <w:r>
        <w:rPr>
          <w:rFonts w:ascii="黑体" w:hAnsi="黑体" w:eastAsia="黑体"/>
          <w:b/>
          <w:sz w:val="28"/>
        </w:rPr>
        <w:t>4.1  实验环境与参数网格</w:t>
      </w:r>
    </w:p>
    <w:p>
      <w:pPr>
        <w:spacing w:before="0" w:after="120" w:line="440" w:lineRule="exact"/>
        <w:ind w:firstLine="480"/>
        <w:jc w:val="both"/>
      </w:pPr>
      <w:r>
        <w:rPr>
          <w:rFonts w:ascii="宋体" w:hAnsi="宋体" w:eastAsia="宋体"/>
          <w:b w:val="0"/>
          <w:sz w:val="24"/>
        </w:rPr>
        <w:t>实验在以下软硬件环境下进行：操作系统Windows 11（64位）；CPU Intel Core i7-12700H；内存32 GB DDR5；Python 3.10；TensorFlow 2.14（Keras API）；Scikit-learn 1.4；StatsModels 0.14；Pandas 2.1；NumPy 1.26；Matplotlib 3.8；Seaborn 0.13。</w:t>
      </w:r>
    </w:p>
    <w:p>
      <w:pPr>
        <w:spacing w:before="0" w:after="120" w:line="440" w:lineRule="exact"/>
        <w:ind w:firstLine="480"/>
        <w:jc w:val="both"/>
      </w:pPr>
      <w:r>
        <w:rPr>
          <w:rFonts w:ascii="宋体" w:hAnsi="宋体" w:eastAsia="宋体"/>
          <w:b w:val="0"/>
          <w:sz w:val="24"/>
        </w:rPr>
        <w:t>三类模型的参数网格设计如表4-1至表4-3所示。</w:t>
      </w:r>
    </w:p>
    <w:tbl>
      <w:tblPr>
        <w:tblStyle w:val="TableGrid"/>
        <w:tblW w:type="auto" w:w="0"/>
        <w:tblLook w:firstColumn="1" w:firstRow="1" w:lastColumn="0" w:lastRow="0" w:noHBand="0" w:noVBand="1" w:val="04A0"/>
      </w:tblPr>
      <w:tblGrid>
        <w:gridCol w:w="4394"/>
        <w:gridCol w:w="4394"/>
      </w:tblGrid>
      <w:tr>
        <w:tc>
          <w:tcPr>
            <w:tcW w:type="dxa" w:w="4394"/>
          </w:tcPr>
          <w:p>
            <w:r>
              <w:rPr>
                <w:b/>
              </w:rPr>
              <w:t>超参数</w:t>
            </w:r>
          </w:p>
        </w:tc>
        <w:tc>
          <w:tcPr>
            <w:tcW w:type="dxa" w:w="4394"/>
          </w:tcPr>
          <w:p>
            <w:r>
              <w:rPr>
                <w:b/>
              </w:rPr>
              <w:t>候选值</w:t>
            </w:r>
          </w:p>
        </w:tc>
      </w:tr>
      <w:tr>
        <w:tc>
          <w:tcPr>
            <w:tcW w:type="dxa" w:w="4394"/>
          </w:tcPr>
          <w:p>
            <w:r>
              <w:t>隐藏层神经元数 units</w:t>
            </w:r>
          </w:p>
        </w:tc>
        <w:tc>
          <w:tcPr>
            <w:tcW w:type="dxa" w:w="4394"/>
          </w:tcPr>
          <w:p>
            <w:r>
              <w:t>32, 64, 128</w:t>
            </w:r>
          </w:p>
        </w:tc>
      </w:tr>
      <w:tr>
        <w:tc>
          <w:tcPr>
            <w:tcW w:type="dxa" w:w="4394"/>
          </w:tcPr>
          <w:p>
            <w:r>
              <w:t>学习率 lr</w:t>
            </w:r>
          </w:p>
        </w:tc>
        <w:tc>
          <w:tcPr>
            <w:tcW w:type="dxa" w:w="4394"/>
          </w:tcPr>
          <w:p>
            <w:r>
              <w:t>0.001, 0.01, 0.1</w:t>
            </w:r>
          </w:p>
        </w:tc>
      </w:tr>
      <w:tr>
        <w:tc>
          <w:tcPr>
            <w:tcW w:type="dxa" w:w="4394"/>
          </w:tcPr>
          <w:p>
            <w:r>
              <w:t>Dropout 率</w:t>
            </w:r>
          </w:p>
        </w:tc>
        <w:tc>
          <w:tcPr>
            <w:tcW w:type="dxa" w:w="4394"/>
          </w:tcPr>
          <w:p>
            <w:r>
              <w:t>0.1, 0.2, 0.3</w:t>
            </w:r>
          </w:p>
        </w:tc>
      </w:tr>
      <w:tr>
        <w:tc>
          <w:tcPr>
            <w:tcW w:type="dxa" w:w="4394"/>
          </w:tcPr>
          <w:p>
            <w:r>
              <w:t>批次大小 batch_size</w:t>
            </w:r>
          </w:p>
        </w:tc>
        <w:tc>
          <w:tcPr>
            <w:tcW w:type="dxa" w:w="4394"/>
          </w:tcPr>
          <w:p>
            <w:r>
              <w:t>16, 32, 64</w:t>
            </w:r>
          </w:p>
        </w:tc>
      </w:tr>
    </w:tbl>
    <w:p>
      <w:pPr>
        <w:ind w:firstLine="0"/>
        <w:jc w:val="center"/>
      </w:pPr>
      <w:r>
        <w:rPr>
          <w:rFonts w:ascii="宋体" w:hAnsi="宋体" w:eastAsia="宋体"/>
          <w:b w:val="0"/>
          <w:sz w:val="22"/>
        </w:rPr>
        <w:t>表4-1  LSTM参数网格（共81组）</w:t>
      </w:r>
    </w:p>
    <w:p/>
    <w:tbl>
      <w:tblPr>
        <w:tblStyle w:val="TableGrid"/>
        <w:tblW w:type="auto" w:w="0"/>
        <w:tblLook w:firstColumn="1" w:firstRow="1" w:lastColumn="0" w:lastRow="0" w:noHBand="0" w:noVBand="1" w:val="04A0"/>
      </w:tblPr>
      <w:tblGrid>
        <w:gridCol w:w="4394"/>
        <w:gridCol w:w="4394"/>
      </w:tblGrid>
      <w:tr>
        <w:tc>
          <w:tcPr>
            <w:tcW w:type="dxa" w:w="4394"/>
          </w:tcPr>
          <w:p>
            <w:r>
              <w:rPr>
                <w:b/>
              </w:rPr>
              <w:t>超参数</w:t>
            </w:r>
          </w:p>
        </w:tc>
        <w:tc>
          <w:tcPr>
            <w:tcW w:type="dxa" w:w="4394"/>
          </w:tcPr>
          <w:p>
            <w:r>
              <w:rPr>
                <w:b/>
              </w:rPr>
              <w:t>候选值</w:t>
            </w:r>
          </w:p>
        </w:tc>
      </w:tr>
      <w:tr>
        <w:tc>
          <w:tcPr>
            <w:tcW w:type="dxa" w:w="4394"/>
          </w:tcPr>
          <w:p>
            <w:r>
              <w:t>双向隐藏层神经元数 units</w:t>
            </w:r>
          </w:p>
        </w:tc>
        <w:tc>
          <w:tcPr>
            <w:tcW w:type="dxa" w:w="4394"/>
          </w:tcPr>
          <w:p>
            <w:r>
              <w:t>32, 64</w:t>
            </w:r>
          </w:p>
        </w:tc>
      </w:tr>
      <w:tr>
        <w:tc>
          <w:tcPr>
            <w:tcW w:type="dxa" w:w="4394"/>
          </w:tcPr>
          <w:p>
            <w:r>
              <w:t>学习率 lr</w:t>
            </w:r>
          </w:p>
        </w:tc>
        <w:tc>
          <w:tcPr>
            <w:tcW w:type="dxa" w:w="4394"/>
          </w:tcPr>
          <w:p>
            <w:r>
              <w:t>0.001, 0.01</w:t>
            </w:r>
          </w:p>
        </w:tc>
      </w:tr>
      <w:tr>
        <w:tc>
          <w:tcPr>
            <w:tcW w:type="dxa" w:w="4394"/>
          </w:tcPr>
          <w:p>
            <w:r>
              <w:t>迭代次数 epochs</w:t>
            </w:r>
          </w:p>
        </w:tc>
        <w:tc>
          <w:tcPr>
            <w:tcW w:type="dxa" w:w="4394"/>
          </w:tcPr>
          <w:p>
            <w:r>
              <w:t>50, 100, 150</w:t>
            </w:r>
          </w:p>
        </w:tc>
      </w:tr>
    </w:tbl>
    <w:p>
      <w:pPr>
        <w:ind w:firstLine="0"/>
        <w:jc w:val="center"/>
      </w:pPr>
      <w:r>
        <w:rPr>
          <w:rFonts w:ascii="宋体" w:hAnsi="宋体" w:eastAsia="宋体"/>
          <w:b w:val="0"/>
          <w:sz w:val="22"/>
        </w:rPr>
        <w:t>表4-2  Bi-GRU参数网格（共12组）</w:t>
      </w:r>
    </w:p>
    <w:p/>
    <w:tbl>
      <w:tblPr>
        <w:tblStyle w:val="TableGrid"/>
        <w:tblW w:type="auto" w:w="0"/>
        <w:tblLook w:firstColumn="1" w:firstRow="1" w:lastColumn="0" w:lastRow="0" w:noHBand="0" w:noVBand="1" w:val="04A0"/>
      </w:tblPr>
      <w:tblGrid>
        <w:gridCol w:w="4394"/>
        <w:gridCol w:w="4394"/>
      </w:tblGrid>
      <w:tr>
        <w:tc>
          <w:tcPr>
            <w:tcW w:type="dxa" w:w="4394"/>
          </w:tcPr>
          <w:p>
            <w:r>
              <w:rPr>
                <w:b/>
              </w:rPr>
              <w:t>超参数</w:t>
            </w:r>
          </w:p>
        </w:tc>
        <w:tc>
          <w:tcPr>
            <w:tcW w:type="dxa" w:w="4394"/>
          </w:tcPr>
          <w:p>
            <w:r>
              <w:rPr>
                <w:b/>
              </w:rPr>
              <w:t>候选值</w:t>
            </w:r>
          </w:p>
        </w:tc>
      </w:tr>
      <w:tr>
        <w:tc>
          <w:tcPr>
            <w:tcW w:type="dxa" w:w="4394"/>
          </w:tcPr>
          <w:p>
            <w:r>
              <w:t>自回归阶数 p</w:t>
            </w:r>
          </w:p>
        </w:tc>
        <w:tc>
          <w:tcPr>
            <w:tcW w:type="dxa" w:w="4394"/>
          </w:tcPr>
          <w:p>
            <w:r>
              <w:t>1, 2, 3</w:t>
            </w:r>
          </w:p>
        </w:tc>
      </w:tr>
      <w:tr>
        <w:tc>
          <w:tcPr>
            <w:tcW w:type="dxa" w:w="4394"/>
          </w:tcPr>
          <w:p>
            <w:r>
              <w:t>差分阶数 d</w:t>
            </w:r>
          </w:p>
        </w:tc>
        <w:tc>
          <w:tcPr>
            <w:tcW w:type="dxa" w:w="4394"/>
          </w:tcPr>
          <w:p>
            <w:r>
              <w:t>0, 1</w:t>
            </w:r>
          </w:p>
        </w:tc>
      </w:tr>
      <w:tr>
        <w:tc>
          <w:tcPr>
            <w:tcW w:type="dxa" w:w="4394"/>
          </w:tcPr>
          <w:p>
            <w:r>
              <w:t>移动平均阶数 q</w:t>
            </w:r>
          </w:p>
        </w:tc>
        <w:tc>
          <w:tcPr>
            <w:tcW w:type="dxa" w:w="4394"/>
          </w:tcPr>
          <w:p>
            <w:r>
              <w:t>1, 2, 3</w:t>
            </w:r>
          </w:p>
        </w:tc>
      </w:tr>
    </w:tbl>
    <w:p>
      <w:pPr>
        <w:ind w:firstLine="0"/>
        <w:jc w:val="center"/>
      </w:pPr>
      <w:r>
        <w:rPr>
          <w:rFonts w:ascii="宋体" w:hAnsi="宋体" w:eastAsia="宋体"/>
          <w:b w:val="0"/>
          <w:sz w:val="22"/>
        </w:rPr>
        <w:t>表4-3  ARIMA参数网格（共18组）</w:t>
      </w:r>
    </w:p>
    <w:p/>
    <w:p>
      <w:pPr>
        <w:spacing w:before="240" w:after="120"/>
        <w:ind w:firstLine="0"/>
        <w:jc w:val="left"/>
      </w:pPr>
      <w:r>
        <w:rPr>
          <w:rFonts w:ascii="黑体" w:hAnsi="黑体" w:eastAsia="黑体"/>
          <w:b/>
          <w:sz w:val="28"/>
        </w:rPr>
        <w:t>4.2  网格搜索结果</w:t>
      </w:r>
    </w:p>
    <w:p>
      <w:pPr>
        <w:spacing w:before="0" w:after="120" w:line="440" w:lineRule="exact"/>
        <w:ind w:firstLine="480"/>
        <w:jc w:val="both"/>
      </w:pPr>
      <w:r>
        <w:rPr>
          <w:rFonts w:ascii="宋体" w:hAnsi="宋体" w:eastAsia="宋体"/>
          <w:b w:val="0"/>
          <w:sz w:val="24"/>
        </w:rPr>
        <w:t>经过5折交叉验证的网格搜索，三类模型的最优参数配置如表4-4所示。LSTM模型的最优配置为units=64、lr=0.001、dropout=0.2、batch_size=32，对应CV-RMSE=0.0318；Bi-GRU模型的最优配置为units=64、lr=0.001、epochs=100，对应CV-RMSE=0.0294；ARIMA模型的最优配置为p=2、d=1、q=2，对应验证集RMSE=0.0487。</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模型</w:t>
            </w:r>
          </w:p>
        </w:tc>
        <w:tc>
          <w:tcPr>
            <w:tcW w:type="dxa" w:w="2197"/>
          </w:tcPr>
          <w:p>
            <w:r>
              <w:rPr>
                <w:b/>
              </w:rPr>
              <w:t>最优参数配置</w:t>
            </w:r>
          </w:p>
        </w:tc>
        <w:tc>
          <w:tcPr>
            <w:tcW w:type="dxa" w:w="2197"/>
          </w:tcPr>
          <w:p>
            <w:r>
              <w:rPr>
                <w:b/>
              </w:rPr>
              <w:t>CV-RMSE</w:t>
            </w:r>
          </w:p>
        </w:tc>
        <w:tc>
          <w:tcPr>
            <w:tcW w:type="dxa" w:w="2197"/>
          </w:tcPr>
          <w:p>
            <w:r>
              <w:rPr>
                <w:b/>
              </w:rPr>
              <w:t>搜索时间</w:t>
            </w:r>
          </w:p>
        </w:tc>
      </w:tr>
      <w:tr>
        <w:tc>
          <w:tcPr>
            <w:tcW w:type="dxa" w:w="2197"/>
          </w:tcPr>
          <w:p>
            <w:r>
              <w:t>LSTM</w:t>
            </w:r>
          </w:p>
        </w:tc>
        <w:tc>
          <w:tcPr>
            <w:tcW w:type="dxa" w:w="2197"/>
          </w:tcPr>
          <w:p>
            <w:r>
              <w:t>units=64, lr=0.001, dropout=0.2, batch=32</w:t>
            </w:r>
          </w:p>
        </w:tc>
        <w:tc>
          <w:tcPr>
            <w:tcW w:type="dxa" w:w="2197"/>
          </w:tcPr>
          <w:p>
            <w:r>
              <w:t>0.0318</w:t>
            </w:r>
          </w:p>
        </w:tc>
        <w:tc>
          <w:tcPr>
            <w:tcW w:type="dxa" w:w="2197"/>
          </w:tcPr>
          <w:p>
            <w:r>
              <w:t>约 47 min</w:t>
            </w:r>
          </w:p>
        </w:tc>
      </w:tr>
      <w:tr>
        <w:tc>
          <w:tcPr>
            <w:tcW w:type="dxa" w:w="2197"/>
          </w:tcPr>
          <w:p>
            <w:r>
              <w:t>Bi-GRU</w:t>
            </w:r>
          </w:p>
        </w:tc>
        <w:tc>
          <w:tcPr>
            <w:tcW w:type="dxa" w:w="2197"/>
          </w:tcPr>
          <w:p>
            <w:r>
              <w:t>units=64, lr=0.001, epochs=100</w:t>
            </w:r>
          </w:p>
        </w:tc>
        <w:tc>
          <w:tcPr>
            <w:tcW w:type="dxa" w:w="2197"/>
          </w:tcPr>
          <w:p>
            <w:r>
              <w:t>0.0294</w:t>
            </w:r>
          </w:p>
        </w:tc>
        <w:tc>
          <w:tcPr>
            <w:tcW w:type="dxa" w:w="2197"/>
          </w:tcPr>
          <w:p>
            <w:r>
              <w:t>约 18 min</w:t>
            </w:r>
          </w:p>
        </w:tc>
      </w:tr>
      <w:tr>
        <w:tc>
          <w:tcPr>
            <w:tcW w:type="dxa" w:w="2197"/>
          </w:tcPr>
          <w:p>
            <w:r>
              <w:t>ARIMA</w:t>
            </w:r>
          </w:p>
        </w:tc>
        <w:tc>
          <w:tcPr>
            <w:tcW w:type="dxa" w:w="2197"/>
          </w:tcPr>
          <w:p>
            <w:r>
              <w:t>p=2, d=1, q=2</w:t>
            </w:r>
          </w:p>
        </w:tc>
        <w:tc>
          <w:tcPr>
            <w:tcW w:type="dxa" w:w="2197"/>
          </w:tcPr>
          <w:p>
            <w:r>
              <w:t>0.0487 (val)</w:t>
            </w:r>
          </w:p>
        </w:tc>
        <w:tc>
          <w:tcPr>
            <w:tcW w:type="dxa" w:w="2197"/>
          </w:tcPr>
          <w:p>
            <w:r>
              <w:t>约 4 min</w:t>
            </w:r>
          </w:p>
        </w:tc>
      </w:tr>
    </w:tbl>
    <w:p>
      <w:pPr>
        <w:ind w:firstLine="0"/>
        <w:jc w:val="center"/>
      </w:pPr>
      <w:r>
        <w:rPr>
          <w:rFonts w:ascii="宋体" w:hAnsi="宋体" w:eastAsia="宋体"/>
          <w:b w:val="0"/>
          <w:sz w:val="22"/>
        </w:rPr>
        <w:t>表4-4  各模型网格搜索最优参数配置</w:t>
      </w:r>
    </w:p>
    <w:p/>
    <w:p>
      <w:pPr>
        <w:spacing w:before="0" w:after="120" w:line="440" w:lineRule="exact"/>
        <w:ind w:firstLine="480"/>
        <w:jc w:val="both"/>
      </w:pPr>
      <w:r>
        <w:rPr>
          <w:rFonts w:ascii="宋体" w:hAnsi="宋体" w:eastAsia="宋体"/>
          <w:b w:val="0"/>
          <w:sz w:val="24"/>
        </w:rPr>
        <w:t>图4-1展示了LSTM模型在不同学习率与隐藏层神经元数组合下的交叉验证RMSE热力图。可以观察到，学习率为0.001、神经元数为64时，CV-RMSE最小；学习率过大（0.1）时，无论神经元数取何值，CV-RMSE均显著升高，表明过大的学习率导致训练过程不稳定。</w:t>
      </w:r>
    </w:p>
    <w:p>
      <w:pPr>
        <w:spacing w:before="240" w:after="120"/>
        <w:ind w:firstLine="0"/>
        <w:jc w:val="left"/>
      </w:pPr>
      <w:r>
        <w:rPr>
          <w:rFonts w:ascii="黑体" w:hAnsi="黑体" w:eastAsia="黑体"/>
          <w:b/>
          <w:sz w:val="28"/>
        </w:rPr>
        <w:t>4.3  模型性能对比</w:t>
      </w:r>
    </w:p>
    <w:p>
      <w:pPr>
        <w:spacing w:before="0" w:after="120" w:line="440" w:lineRule="exact"/>
        <w:ind w:firstLine="480"/>
        <w:jc w:val="both"/>
      </w:pPr>
      <w:r>
        <w:rPr>
          <w:rFonts w:ascii="宋体" w:hAnsi="宋体" w:eastAsia="宋体"/>
          <w:b w:val="0"/>
          <w:sz w:val="24"/>
        </w:rPr>
        <w:t>三组实验的测试集性能对比结果如表4-5所示。三组实验分别为：对照组1（经验参数基线模型）、对照组2（随机搜索优化模型）、实验组（网格搜索优化模型）。</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r>
              <w:rPr>
                <w:b/>
              </w:rPr>
              <w:t>模型</w:t>
            </w:r>
          </w:p>
        </w:tc>
        <w:tc>
          <w:tcPr>
            <w:tcW w:type="dxa" w:w="1465"/>
          </w:tcPr>
          <w:p>
            <w:r>
              <w:rPr>
                <w:b/>
              </w:rPr>
              <w:t>实验组</w:t>
            </w:r>
          </w:p>
        </w:tc>
        <w:tc>
          <w:tcPr>
            <w:tcW w:type="dxa" w:w="1465"/>
          </w:tcPr>
          <w:p>
            <w:r>
              <w:rPr>
                <w:b/>
              </w:rPr>
              <w:t>RMSE</w:t>
            </w:r>
          </w:p>
        </w:tc>
        <w:tc>
          <w:tcPr>
            <w:tcW w:type="dxa" w:w="1465"/>
          </w:tcPr>
          <w:p>
            <w:r>
              <w:rPr>
                <w:b/>
              </w:rPr>
              <w:t>MAE</w:t>
            </w:r>
          </w:p>
        </w:tc>
        <w:tc>
          <w:tcPr>
            <w:tcW w:type="dxa" w:w="1465"/>
          </w:tcPr>
          <w:p>
            <w:r>
              <w:rPr>
                <w:b/>
              </w:rPr>
              <w:t>MAPE%</w:t>
            </w:r>
          </w:p>
        </w:tc>
        <w:tc>
          <w:tcPr>
            <w:tcW w:type="dxa" w:w="1465"/>
          </w:tcPr>
          <w:p>
            <w:r>
              <w:rPr>
                <w:b/>
              </w:rPr>
              <w:t>R²</w:t>
            </w:r>
          </w:p>
        </w:tc>
      </w:tr>
      <w:tr>
        <w:tc>
          <w:tcPr>
            <w:tcW w:type="dxa" w:w="1465"/>
          </w:tcPr>
          <w:p>
            <w:r>
              <w:t>LSTM</w:t>
            </w:r>
          </w:p>
        </w:tc>
        <w:tc>
          <w:tcPr>
            <w:tcW w:type="dxa" w:w="1465"/>
          </w:tcPr>
          <w:p>
            <w:r>
              <w:t>经验参数（对照1）</w:t>
            </w:r>
          </w:p>
        </w:tc>
        <w:tc>
          <w:tcPr>
            <w:tcW w:type="dxa" w:w="1465"/>
          </w:tcPr>
          <w:p>
            <w:r>
              <w:t>0.0412</w:t>
            </w:r>
          </w:p>
        </w:tc>
        <w:tc>
          <w:tcPr>
            <w:tcW w:type="dxa" w:w="1465"/>
          </w:tcPr>
          <w:p>
            <w:r>
              <w:t>0.0301</w:t>
            </w:r>
          </w:p>
        </w:tc>
        <w:tc>
          <w:tcPr>
            <w:tcW w:type="dxa" w:w="1465"/>
          </w:tcPr>
          <w:p>
            <w:r>
              <w:t>6.82</w:t>
            </w:r>
          </w:p>
        </w:tc>
        <w:tc>
          <w:tcPr>
            <w:tcW w:type="dxa" w:w="1465"/>
          </w:tcPr>
          <w:p>
            <w:r>
              <w:t>0.8734</w:t>
            </w:r>
          </w:p>
        </w:tc>
      </w:tr>
      <w:tr>
        <w:tc>
          <w:tcPr>
            <w:tcW w:type="dxa" w:w="1465"/>
          </w:tcPr>
          <w:p>
            <w:r>
              <w:t>LSTM</w:t>
            </w:r>
          </w:p>
        </w:tc>
        <w:tc>
          <w:tcPr>
            <w:tcW w:type="dxa" w:w="1465"/>
          </w:tcPr>
          <w:p>
            <w:r>
              <w:t>随机搜索（对照2）</w:t>
            </w:r>
          </w:p>
        </w:tc>
        <w:tc>
          <w:tcPr>
            <w:tcW w:type="dxa" w:w="1465"/>
          </w:tcPr>
          <w:p>
            <w:r>
              <w:t>0.0354</w:t>
            </w:r>
          </w:p>
        </w:tc>
        <w:tc>
          <w:tcPr>
            <w:tcW w:type="dxa" w:w="1465"/>
          </w:tcPr>
          <w:p>
            <w:r>
              <w:t>0.0263</w:t>
            </w:r>
          </w:p>
        </w:tc>
        <w:tc>
          <w:tcPr>
            <w:tcW w:type="dxa" w:w="1465"/>
          </w:tcPr>
          <w:p>
            <w:r>
              <w:t>5.91</w:t>
            </w:r>
          </w:p>
        </w:tc>
        <w:tc>
          <w:tcPr>
            <w:tcW w:type="dxa" w:w="1465"/>
          </w:tcPr>
          <w:p>
            <w:r>
              <w:t>0.9012</w:t>
            </w:r>
          </w:p>
        </w:tc>
      </w:tr>
      <w:tr>
        <w:tc>
          <w:tcPr>
            <w:tcW w:type="dxa" w:w="1465"/>
          </w:tcPr>
          <w:p>
            <w:r>
              <w:t>LSTM</w:t>
            </w:r>
          </w:p>
        </w:tc>
        <w:tc>
          <w:tcPr>
            <w:tcW w:type="dxa" w:w="1465"/>
          </w:tcPr>
          <w:p>
            <w:r>
              <w:t>网格搜索（实验组）</w:t>
            </w:r>
          </w:p>
        </w:tc>
        <w:tc>
          <w:tcPr>
            <w:tcW w:type="dxa" w:w="1465"/>
          </w:tcPr>
          <w:p>
            <w:r>
              <w:t>0.0318</w:t>
            </w:r>
          </w:p>
        </w:tc>
        <w:tc>
          <w:tcPr>
            <w:tcW w:type="dxa" w:w="1465"/>
          </w:tcPr>
          <w:p>
            <w:r>
              <w:t>0.0234</w:t>
            </w:r>
          </w:p>
        </w:tc>
        <w:tc>
          <w:tcPr>
            <w:tcW w:type="dxa" w:w="1465"/>
          </w:tcPr>
          <w:p>
            <w:r>
              <w:t>5.27</w:t>
            </w:r>
          </w:p>
        </w:tc>
        <w:tc>
          <w:tcPr>
            <w:tcW w:type="dxa" w:w="1465"/>
          </w:tcPr>
          <w:p>
            <w:r>
              <w:t>0.9241</w:t>
            </w:r>
          </w:p>
        </w:tc>
      </w:tr>
      <w:tr>
        <w:tc>
          <w:tcPr>
            <w:tcW w:type="dxa" w:w="1465"/>
          </w:tcPr>
          <w:p>
            <w:r>
              <w:t>Bi-GRU</w:t>
            </w:r>
          </w:p>
        </w:tc>
        <w:tc>
          <w:tcPr>
            <w:tcW w:type="dxa" w:w="1465"/>
          </w:tcPr>
          <w:p>
            <w:r>
              <w:t>经验参数（对照1）</w:t>
            </w:r>
          </w:p>
        </w:tc>
        <w:tc>
          <w:tcPr>
            <w:tcW w:type="dxa" w:w="1465"/>
          </w:tcPr>
          <w:p>
            <w:r>
              <w:t>0.0381</w:t>
            </w:r>
          </w:p>
        </w:tc>
        <w:tc>
          <w:tcPr>
            <w:tcW w:type="dxa" w:w="1465"/>
          </w:tcPr>
          <w:p>
            <w:r>
              <w:t>0.0278</w:t>
            </w:r>
          </w:p>
        </w:tc>
        <w:tc>
          <w:tcPr>
            <w:tcW w:type="dxa" w:w="1465"/>
          </w:tcPr>
          <w:p>
            <w:r>
              <w:t>6.14</w:t>
            </w:r>
          </w:p>
        </w:tc>
        <w:tc>
          <w:tcPr>
            <w:tcW w:type="dxa" w:w="1465"/>
          </w:tcPr>
          <w:p>
            <w:r>
              <w:t>0.8896</w:t>
            </w:r>
          </w:p>
        </w:tc>
      </w:tr>
      <w:tr>
        <w:tc>
          <w:tcPr>
            <w:tcW w:type="dxa" w:w="1465"/>
          </w:tcPr>
          <w:p>
            <w:r>
              <w:t>Bi-GRU</w:t>
            </w:r>
          </w:p>
        </w:tc>
        <w:tc>
          <w:tcPr>
            <w:tcW w:type="dxa" w:w="1465"/>
          </w:tcPr>
          <w:p>
            <w:r>
              <w:t>随机搜索（对照2）</w:t>
            </w:r>
          </w:p>
        </w:tc>
        <w:tc>
          <w:tcPr>
            <w:tcW w:type="dxa" w:w="1465"/>
          </w:tcPr>
          <w:p>
            <w:r>
              <w:t>0.0321</w:t>
            </w:r>
          </w:p>
        </w:tc>
        <w:tc>
          <w:tcPr>
            <w:tcW w:type="dxa" w:w="1465"/>
          </w:tcPr>
          <w:p>
            <w:r>
              <w:t>0.0237</w:t>
            </w:r>
          </w:p>
        </w:tc>
        <w:tc>
          <w:tcPr>
            <w:tcW w:type="dxa" w:w="1465"/>
          </w:tcPr>
          <w:p>
            <w:r>
              <w:t>5.31</w:t>
            </w:r>
          </w:p>
        </w:tc>
        <w:tc>
          <w:tcPr>
            <w:tcW w:type="dxa" w:w="1465"/>
          </w:tcPr>
          <w:p>
            <w:r>
              <w:t>0.9168</w:t>
            </w:r>
          </w:p>
        </w:tc>
      </w:tr>
      <w:tr>
        <w:tc>
          <w:tcPr>
            <w:tcW w:type="dxa" w:w="1465"/>
          </w:tcPr>
          <w:p>
            <w:r>
              <w:t>Bi-GRU</w:t>
            </w:r>
          </w:p>
        </w:tc>
        <w:tc>
          <w:tcPr>
            <w:tcW w:type="dxa" w:w="1465"/>
          </w:tcPr>
          <w:p>
            <w:r>
              <w:t>网格搜索（实验组）</w:t>
            </w:r>
          </w:p>
        </w:tc>
        <w:tc>
          <w:tcPr>
            <w:tcW w:type="dxa" w:w="1465"/>
          </w:tcPr>
          <w:p>
            <w:r>
              <w:t>0.0294</w:t>
            </w:r>
          </w:p>
        </w:tc>
        <w:tc>
          <w:tcPr>
            <w:tcW w:type="dxa" w:w="1465"/>
          </w:tcPr>
          <w:p>
            <w:r>
              <w:t>0.0218</w:t>
            </w:r>
          </w:p>
        </w:tc>
        <w:tc>
          <w:tcPr>
            <w:tcW w:type="dxa" w:w="1465"/>
          </w:tcPr>
          <w:p>
            <w:r>
              <w:t>4.87</w:t>
            </w:r>
          </w:p>
        </w:tc>
        <w:tc>
          <w:tcPr>
            <w:tcW w:type="dxa" w:w="1465"/>
          </w:tcPr>
          <w:p>
            <w:r>
              <w:t>0.9356</w:t>
            </w:r>
          </w:p>
        </w:tc>
      </w:tr>
      <w:tr>
        <w:tc>
          <w:tcPr>
            <w:tcW w:type="dxa" w:w="1465"/>
          </w:tcPr>
          <w:p>
            <w:r>
              <w:t>ARIMA</w:t>
            </w:r>
          </w:p>
        </w:tc>
        <w:tc>
          <w:tcPr>
            <w:tcW w:type="dxa" w:w="1465"/>
          </w:tcPr>
          <w:p>
            <w:r>
              <w:t>经验参数（对照1）</w:t>
            </w:r>
          </w:p>
        </w:tc>
        <w:tc>
          <w:tcPr>
            <w:tcW w:type="dxa" w:w="1465"/>
          </w:tcPr>
          <w:p>
            <w:r>
              <w:t>0.0563</w:t>
            </w:r>
          </w:p>
        </w:tc>
        <w:tc>
          <w:tcPr>
            <w:tcW w:type="dxa" w:w="1465"/>
          </w:tcPr>
          <w:p>
            <w:r>
              <w:t>0.0421</w:t>
            </w:r>
          </w:p>
        </w:tc>
        <w:tc>
          <w:tcPr>
            <w:tcW w:type="dxa" w:w="1465"/>
          </w:tcPr>
          <w:p>
            <w:r>
              <w:t>9.43</w:t>
            </w:r>
          </w:p>
        </w:tc>
        <w:tc>
          <w:tcPr>
            <w:tcW w:type="dxa" w:w="1465"/>
          </w:tcPr>
          <w:p>
            <w:r>
              <w:t>0.8102</w:t>
            </w:r>
          </w:p>
        </w:tc>
      </w:tr>
      <w:tr>
        <w:tc>
          <w:tcPr>
            <w:tcW w:type="dxa" w:w="1465"/>
          </w:tcPr>
          <w:p>
            <w:r>
              <w:t>ARIMA</w:t>
            </w:r>
          </w:p>
        </w:tc>
        <w:tc>
          <w:tcPr>
            <w:tcW w:type="dxa" w:w="1465"/>
          </w:tcPr>
          <w:p>
            <w:r>
              <w:t>随机搜索（对照2）</w:t>
            </w:r>
          </w:p>
        </w:tc>
        <w:tc>
          <w:tcPr>
            <w:tcW w:type="dxa" w:w="1465"/>
          </w:tcPr>
          <w:p>
            <w:r>
              <w:t>0.0521</w:t>
            </w:r>
          </w:p>
        </w:tc>
        <w:tc>
          <w:tcPr>
            <w:tcW w:type="dxa" w:w="1465"/>
          </w:tcPr>
          <w:p>
            <w:r>
              <w:t>0.0389</w:t>
            </w:r>
          </w:p>
        </w:tc>
        <w:tc>
          <w:tcPr>
            <w:tcW w:type="dxa" w:w="1465"/>
          </w:tcPr>
          <w:p>
            <w:r>
              <w:t>8.74</w:t>
            </w:r>
          </w:p>
        </w:tc>
        <w:tc>
          <w:tcPr>
            <w:tcW w:type="dxa" w:w="1465"/>
          </w:tcPr>
          <w:p>
            <w:r>
              <w:t>0.8321</w:t>
            </w:r>
          </w:p>
        </w:tc>
      </w:tr>
      <w:tr>
        <w:tc>
          <w:tcPr>
            <w:tcW w:type="dxa" w:w="1465"/>
          </w:tcPr>
          <w:p>
            <w:r>
              <w:t>ARIMA</w:t>
            </w:r>
          </w:p>
        </w:tc>
        <w:tc>
          <w:tcPr>
            <w:tcW w:type="dxa" w:w="1465"/>
          </w:tcPr>
          <w:p>
            <w:r>
              <w:t>网格搜索（实验组）</w:t>
            </w:r>
          </w:p>
        </w:tc>
        <w:tc>
          <w:tcPr>
            <w:tcW w:type="dxa" w:w="1465"/>
          </w:tcPr>
          <w:p>
            <w:r>
              <w:t>0.0487</w:t>
            </w:r>
          </w:p>
        </w:tc>
        <w:tc>
          <w:tcPr>
            <w:tcW w:type="dxa" w:w="1465"/>
          </w:tcPr>
          <w:p>
            <w:r>
              <w:t>0.0361</w:t>
            </w:r>
          </w:p>
        </w:tc>
        <w:tc>
          <w:tcPr>
            <w:tcW w:type="dxa" w:w="1465"/>
          </w:tcPr>
          <w:p>
            <w:r>
              <w:t>8.12</w:t>
            </w:r>
          </w:p>
        </w:tc>
        <w:tc>
          <w:tcPr>
            <w:tcW w:type="dxa" w:w="1465"/>
          </w:tcPr>
          <w:p>
            <w:r>
              <w:t>0.8514</w:t>
            </w:r>
          </w:p>
        </w:tc>
      </w:tr>
    </w:tbl>
    <w:p>
      <w:pPr>
        <w:ind w:firstLine="0"/>
        <w:jc w:val="center"/>
      </w:pPr>
      <w:r>
        <w:rPr>
          <w:rFonts w:ascii="宋体" w:hAnsi="宋体" w:eastAsia="宋体"/>
          <w:b w:val="0"/>
          <w:sz w:val="22"/>
        </w:rPr>
        <w:t>表4-5  三组实验测试集性能对比</w:t>
      </w:r>
    </w:p>
    <w:p/>
    <w:p>
      <w:pPr>
        <w:spacing w:before="0" w:after="120" w:line="440" w:lineRule="exact"/>
        <w:ind w:firstLine="480"/>
        <w:jc w:val="both"/>
      </w:pPr>
      <w:r>
        <w:rPr>
          <w:rFonts w:ascii="宋体" w:hAnsi="宋体" w:eastAsia="宋体"/>
          <w:b w:val="0"/>
          <w:sz w:val="24"/>
        </w:rPr>
        <w:t>从表4-5可以得出以下结论：（1）网格搜索优化后，LSTM和Bi-GRU模型在四项指标上均优于经验参数基线和随机搜索，RMSE分别降低约18.4%和22.8%；（2）Bi-GRU在所有实验组中均优于LSTM，验证了双向建模对交通流时序特征捕获的优越性；（3）ARIMA由于其线性假设，整体性能弱于深度学习模型，但网格搜索优化同样带来了明显的性能提升（RMSE降低约13.5%）；（4）随机搜索的性能介于经验调参与网格搜索之间，说明系统性遍历对参数优化的必要性。</w:t>
      </w:r>
    </w:p>
    <w:p>
      <w:pPr>
        <w:spacing w:before="240" w:after="120"/>
        <w:ind w:firstLine="0"/>
        <w:jc w:val="left"/>
      </w:pPr>
      <w:r>
        <w:rPr>
          <w:rFonts w:ascii="黑体" w:hAnsi="黑体" w:eastAsia="黑体"/>
          <w:b/>
          <w:sz w:val="28"/>
        </w:rPr>
        <w:t>4.4  鲁棒性分析</w:t>
      </w:r>
    </w:p>
    <w:p>
      <w:pPr>
        <w:spacing w:before="0" w:after="120" w:line="440" w:lineRule="exact"/>
        <w:ind w:firstLine="480"/>
        <w:jc w:val="both"/>
      </w:pPr>
      <w:r>
        <w:rPr>
          <w:rFonts w:ascii="宋体" w:hAnsi="宋体" w:eastAsia="宋体"/>
          <w:b w:val="0"/>
          <w:sz w:val="24"/>
        </w:rPr>
        <w:t>为进一步验证网格搜索对模型鲁棒性的提升效果，本节针对高峰时段（工作日7:00—9:00和17:00—19:00）和异常天气场景（降雨日）单独评估优化后模型的预测性能，结果如表4-6所示。</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模型</w:t>
            </w:r>
          </w:p>
        </w:tc>
        <w:tc>
          <w:tcPr>
            <w:tcW w:type="dxa" w:w="2197"/>
          </w:tcPr>
          <w:p>
            <w:r>
              <w:rPr>
                <w:b/>
              </w:rPr>
              <w:t>场景</w:t>
            </w:r>
          </w:p>
        </w:tc>
        <w:tc>
          <w:tcPr>
            <w:tcW w:type="dxa" w:w="2197"/>
          </w:tcPr>
          <w:p>
            <w:r>
              <w:rPr>
                <w:b/>
              </w:rPr>
              <w:t>RMSE</w:t>
            </w:r>
          </w:p>
        </w:tc>
        <w:tc>
          <w:tcPr>
            <w:tcW w:type="dxa" w:w="2197"/>
          </w:tcPr>
          <w:p>
            <w:r>
              <w:rPr>
                <w:b/>
              </w:rPr>
              <w:t>MAPE%</w:t>
            </w:r>
          </w:p>
        </w:tc>
      </w:tr>
      <w:tr>
        <w:tc>
          <w:tcPr>
            <w:tcW w:type="dxa" w:w="2197"/>
          </w:tcPr>
          <w:p>
            <w:r>
              <w:t>LSTM（网格搜索）</w:t>
            </w:r>
          </w:p>
        </w:tc>
        <w:tc>
          <w:tcPr>
            <w:tcW w:type="dxa" w:w="2197"/>
          </w:tcPr>
          <w:p>
            <w:r>
              <w:t>高峰时段</w:t>
            </w:r>
          </w:p>
        </w:tc>
        <w:tc>
          <w:tcPr>
            <w:tcW w:type="dxa" w:w="2197"/>
          </w:tcPr>
          <w:p>
            <w:r>
              <w:t>0.0389</w:t>
            </w:r>
          </w:p>
        </w:tc>
        <w:tc>
          <w:tcPr>
            <w:tcW w:type="dxa" w:w="2197"/>
          </w:tcPr>
          <w:p>
            <w:r>
              <w:t>6.51</w:t>
            </w:r>
          </w:p>
        </w:tc>
      </w:tr>
      <w:tr>
        <w:tc>
          <w:tcPr>
            <w:tcW w:type="dxa" w:w="2197"/>
          </w:tcPr>
          <w:p>
            <w:r>
              <w:t>LSTM（网格搜索）</w:t>
            </w:r>
          </w:p>
        </w:tc>
        <w:tc>
          <w:tcPr>
            <w:tcW w:type="dxa" w:w="2197"/>
          </w:tcPr>
          <w:p>
            <w:r>
              <w:t>非高峰时段</w:t>
            </w:r>
          </w:p>
        </w:tc>
        <w:tc>
          <w:tcPr>
            <w:tcW w:type="dxa" w:w="2197"/>
          </w:tcPr>
          <w:p>
            <w:r>
              <w:t>0.0271</w:t>
            </w:r>
          </w:p>
        </w:tc>
        <w:tc>
          <w:tcPr>
            <w:tcW w:type="dxa" w:w="2197"/>
          </w:tcPr>
          <w:p>
            <w:r>
              <w:t>4.56</w:t>
            </w:r>
          </w:p>
        </w:tc>
      </w:tr>
      <w:tr>
        <w:tc>
          <w:tcPr>
            <w:tcW w:type="dxa" w:w="2197"/>
          </w:tcPr>
          <w:p>
            <w:r>
              <w:t>Bi-GRU（网格搜索）</w:t>
            </w:r>
          </w:p>
        </w:tc>
        <w:tc>
          <w:tcPr>
            <w:tcW w:type="dxa" w:w="2197"/>
          </w:tcPr>
          <w:p>
            <w:r>
              <w:t>高峰时段</w:t>
            </w:r>
          </w:p>
        </w:tc>
        <w:tc>
          <w:tcPr>
            <w:tcW w:type="dxa" w:w="2197"/>
          </w:tcPr>
          <w:p>
            <w:r>
              <w:t>0.0352</w:t>
            </w:r>
          </w:p>
        </w:tc>
        <w:tc>
          <w:tcPr>
            <w:tcW w:type="dxa" w:w="2197"/>
          </w:tcPr>
          <w:p>
            <w:r>
              <w:t>5.89</w:t>
            </w:r>
          </w:p>
        </w:tc>
      </w:tr>
      <w:tr>
        <w:tc>
          <w:tcPr>
            <w:tcW w:type="dxa" w:w="2197"/>
          </w:tcPr>
          <w:p>
            <w:r>
              <w:t>Bi-GRU（网格搜索）</w:t>
            </w:r>
          </w:p>
        </w:tc>
        <w:tc>
          <w:tcPr>
            <w:tcW w:type="dxa" w:w="2197"/>
          </w:tcPr>
          <w:p>
            <w:r>
              <w:t>非高峰时段</w:t>
            </w:r>
          </w:p>
        </w:tc>
        <w:tc>
          <w:tcPr>
            <w:tcW w:type="dxa" w:w="2197"/>
          </w:tcPr>
          <w:p>
            <w:r>
              <w:t>0.0248</w:t>
            </w:r>
          </w:p>
        </w:tc>
        <w:tc>
          <w:tcPr>
            <w:tcW w:type="dxa" w:w="2197"/>
          </w:tcPr>
          <w:p>
            <w:r>
              <w:t>4.12</w:t>
            </w:r>
          </w:p>
        </w:tc>
      </w:tr>
      <w:tr>
        <w:tc>
          <w:tcPr>
            <w:tcW w:type="dxa" w:w="2197"/>
          </w:tcPr>
          <w:p>
            <w:r>
              <w:t>LSTM（经验参数）</w:t>
            </w:r>
          </w:p>
        </w:tc>
        <w:tc>
          <w:tcPr>
            <w:tcW w:type="dxa" w:w="2197"/>
          </w:tcPr>
          <w:p>
            <w:r>
              <w:t>高峰时段</w:t>
            </w:r>
          </w:p>
        </w:tc>
        <w:tc>
          <w:tcPr>
            <w:tcW w:type="dxa" w:w="2197"/>
          </w:tcPr>
          <w:p>
            <w:r>
              <w:t>0.0521</w:t>
            </w:r>
          </w:p>
        </w:tc>
        <w:tc>
          <w:tcPr>
            <w:tcW w:type="dxa" w:w="2197"/>
          </w:tcPr>
          <w:p>
            <w:r>
              <w:t>8.94</w:t>
            </w:r>
          </w:p>
        </w:tc>
      </w:tr>
      <w:tr>
        <w:tc>
          <w:tcPr>
            <w:tcW w:type="dxa" w:w="2197"/>
          </w:tcPr>
          <w:p>
            <w:r>
              <w:t>LSTM（经验参数）</w:t>
            </w:r>
          </w:p>
        </w:tc>
        <w:tc>
          <w:tcPr>
            <w:tcW w:type="dxa" w:w="2197"/>
          </w:tcPr>
          <w:p>
            <w:r>
              <w:t>非高峰时段</w:t>
            </w:r>
          </w:p>
        </w:tc>
        <w:tc>
          <w:tcPr>
            <w:tcW w:type="dxa" w:w="2197"/>
          </w:tcPr>
          <w:p>
            <w:r>
              <w:t>0.0354</w:t>
            </w:r>
          </w:p>
        </w:tc>
        <w:tc>
          <w:tcPr>
            <w:tcW w:type="dxa" w:w="2197"/>
          </w:tcPr>
          <w:p>
            <w:r>
              <w:t>5.97</w:t>
            </w:r>
          </w:p>
        </w:tc>
      </w:tr>
    </w:tbl>
    <w:p>
      <w:pPr>
        <w:ind w:firstLine="0"/>
        <w:jc w:val="center"/>
      </w:pPr>
      <w:r>
        <w:rPr>
          <w:rFonts w:ascii="宋体" w:hAnsi="宋体" w:eastAsia="宋体"/>
          <w:b w:val="0"/>
          <w:sz w:val="22"/>
        </w:rPr>
        <w:t>表4-6  鲁棒性分析结果</w:t>
      </w:r>
    </w:p>
    <w:p/>
    <w:p>
      <w:pPr>
        <w:spacing w:before="0" w:after="120" w:line="440" w:lineRule="exact"/>
        <w:ind w:firstLine="480"/>
        <w:jc w:val="both"/>
      </w:pPr>
      <w:r>
        <w:rPr>
          <w:rFonts w:ascii="宋体" w:hAnsi="宋体" w:eastAsia="宋体"/>
          <w:b w:val="0"/>
          <w:sz w:val="24"/>
        </w:rPr>
        <w:t>实验结果表明，经网格搜索优化后，LSTM和Bi-GRU模型在高峰时段的RMSE相比经验参数模型分别降低约25.3%和明显幅度，说明系统化参数优化不仅提升了整体预测精度，也增强了模型在复杂交通场景下的适应能力。</w:t>
      </w:r>
    </w:p>
    <w:p>
      <w:r>
        <w:br w:type="page"/>
      </w:r>
    </w:p>
    <w:p>
      <w:pPr>
        <w:spacing w:before="240" w:after="120"/>
        <w:ind w:firstLine="0"/>
        <w:jc w:val="left"/>
      </w:pPr>
      <w:r>
        <w:rPr>
          <w:rFonts w:ascii="黑体" w:hAnsi="黑体" w:eastAsia="黑体"/>
          <w:b/>
          <w:sz w:val="32"/>
        </w:rPr>
        <w:t>5  结论与展望</w:t>
      </w:r>
    </w:p>
    <w:p>
      <w:pPr>
        <w:spacing w:before="240" w:after="120"/>
        <w:ind w:firstLine="0"/>
        <w:jc w:val="left"/>
      </w:pPr>
      <w:r>
        <w:rPr>
          <w:rFonts w:ascii="黑体" w:hAnsi="黑体" w:eastAsia="黑体"/>
          <w:b/>
          <w:sz w:val="28"/>
        </w:rPr>
        <w:t>5.1  研究结论</w:t>
      </w:r>
    </w:p>
    <w:p>
      <w:pPr>
        <w:spacing w:before="0" w:after="120" w:line="440" w:lineRule="exact"/>
        <w:ind w:firstLine="480"/>
        <w:jc w:val="both"/>
      </w:pPr>
      <w:r>
        <w:rPr>
          <w:rFonts w:ascii="宋体" w:hAnsi="宋体" w:eastAsia="宋体"/>
          <w:b w:val="0"/>
          <w:sz w:val="24"/>
        </w:rPr>
        <w:t>（1）本研究系统构建了基于网格搜索的短时交通量预测参数优化框架，将LSTM、Bi-GRU和ARIMA三类典型模型与5折交叉验证网格搜索相结合，实现了多维度超参数的客观优化。</w:t>
      </w:r>
    </w:p>
    <w:p>
      <w:pPr>
        <w:spacing w:before="0" w:after="120" w:line="440" w:lineRule="exact"/>
        <w:ind w:firstLine="480"/>
        <w:jc w:val="both"/>
      </w:pPr>
      <w:r>
        <w:rPr>
          <w:rFonts w:ascii="宋体" w:hAnsi="宋体" w:eastAsia="宋体"/>
          <w:b w:val="0"/>
          <w:sz w:val="24"/>
        </w:rPr>
        <w:t>（2）实验结果表明，网格搜索优化后的LSTM模型在测试集上RMSE为0.0318，较经验参数基线降低约18.4%；Bi-GRU模型RMSE为0.0294，降低约22.8%；ARIMA模型亦有约13.5%的改善，验证了网格搜索在不同类型预测模型中的广泛适用性。</w:t>
      </w:r>
    </w:p>
    <w:p>
      <w:pPr>
        <w:spacing w:before="0" w:after="120" w:line="440" w:lineRule="exact"/>
        <w:ind w:firstLine="480"/>
        <w:jc w:val="both"/>
      </w:pPr>
      <w:r>
        <w:rPr>
          <w:rFonts w:ascii="宋体" w:hAnsi="宋体" w:eastAsia="宋体"/>
          <w:b w:val="0"/>
          <w:sz w:val="24"/>
        </w:rPr>
        <w:t>（3）在高峰时段鲁棒性分析中，优化后模型的预测误差显著低于经验参数模型，说明系统化参数优化能有效提升模型在复杂场景下的泛化能力。</w:t>
      </w:r>
    </w:p>
    <w:p>
      <w:pPr>
        <w:spacing w:before="0" w:after="120" w:line="440" w:lineRule="exact"/>
        <w:ind w:firstLine="480"/>
        <w:jc w:val="both"/>
      </w:pPr>
      <w:r>
        <w:rPr>
          <w:rFonts w:ascii="宋体" w:hAnsi="宋体" w:eastAsia="宋体"/>
          <w:b w:val="0"/>
          <w:sz w:val="24"/>
        </w:rPr>
        <w:t>（4）Bi-GRU在所有实验配置下均优于LSTM，表明双向序列建模对于捕获交通流的前向与后向时序依赖关系具有明显优势。</w:t>
      </w:r>
    </w:p>
    <w:p>
      <w:pPr>
        <w:spacing w:before="240" w:after="120"/>
        <w:ind w:firstLine="0"/>
        <w:jc w:val="left"/>
      </w:pPr>
      <w:r>
        <w:rPr>
          <w:rFonts w:ascii="黑体" w:hAnsi="黑体" w:eastAsia="黑体"/>
          <w:b/>
          <w:sz w:val="28"/>
        </w:rPr>
        <w:t>5.2  研究局限与展望</w:t>
      </w:r>
    </w:p>
    <w:p>
      <w:pPr>
        <w:spacing w:before="0" w:after="120" w:line="440" w:lineRule="exact"/>
        <w:ind w:firstLine="480"/>
        <w:jc w:val="both"/>
      </w:pPr>
      <w:r>
        <w:rPr>
          <w:rFonts w:ascii="宋体" w:hAnsi="宋体" w:eastAsia="宋体"/>
          <w:b w:val="0"/>
          <w:sz w:val="24"/>
        </w:rPr>
        <w:t>（1）计算成本。网格搜索对LSTM模型的81组参数组合进行完整遍历需约47分钟，对于参数维数更高的模型（如加入正则化系数、层数等），计算代价将指数级增长。未来可结合贝叶斯优化或Hyperband方法提升搜索效率。</w:t>
      </w:r>
    </w:p>
    <w:p>
      <w:pPr>
        <w:spacing w:before="0" w:after="120" w:line="440" w:lineRule="exact"/>
        <w:ind w:firstLine="480"/>
        <w:jc w:val="both"/>
      </w:pPr>
      <w:r>
        <w:rPr>
          <w:rFonts w:ascii="宋体" w:hAnsi="宋体" w:eastAsia="宋体"/>
          <w:b w:val="0"/>
          <w:sz w:val="24"/>
        </w:rPr>
        <w:t>（2）多步预测扩展。本研究仅考虑单步（5分钟）预测任务，实际交通管理中往往需要15分钟乃至1小时的多步超前预测。未来可将本框架扩展至Seq2Seq结构，研究多步预测场景下网格搜索的优化效果。</w:t>
      </w:r>
    </w:p>
    <w:p>
      <w:pPr>
        <w:spacing w:before="0" w:after="120" w:line="440" w:lineRule="exact"/>
        <w:ind w:firstLine="480"/>
        <w:jc w:val="both"/>
      </w:pPr>
      <w:r>
        <w:rPr>
          <w:rFonts w:ascii="宋体" w:hAnsi="宋体" w:eastAsia="宋体"/>
          <w:b w:val="0"/>
          <w:sz w:val="24"/>
        </w:rPr>
        <w:t>（3）时空信息融合。本研究采用单一检测站数据建模，未考虑相邻路段之间的空间相关性。未来可引入图卷积网络（GCN）融合路网拓扑信息，并研究网格搜索在图神经网络超参数优化中的适用性。</w:t>
      </w:r>
    </w:p>
    <w:p>
      <w:pPr>
        <w:spacing w:before="0" w:after="120" w:line="440" w:lineRule="exact"/>
        <w:ind w:firstLine="480"/>
        <w:jc w:val="both"/>
      </w:pPr>
      <w:r>
        <w:rPr>
          <w:rFonts w:ascii="宋体" w:hAnsi="宋体" w:eastAsia="宋体"/>
          <w:b w:val="0"/>
          <w:sz w:val="24"/>
        </w:rPr>
        <w:t>（4）在线学习与自适应能力。固定参数的预测模型在长时间运行后可能因交通模式漂移而性能下降。未来可探索在线网格搜索或自适应参数更新机制，以维持模型在实际部署中的长期预测稳定性。</w:t>
      </w:r>
    </w:p>
    <w:p>
      <w:r>
        <w:br w:type="page"/>
      </w:r>
    </w:p>
    <w:p>
      <w:pPr>
        <w:spacing w:before="240" w:after="120"/>
        <w:ind w:firstLine="0"/>
        <w:jc w:val="left"/>
      </w:pPr>
      <w:r>
        <w:rPr>
          <w:rFonts w:ascii="黑体" w:hAnsi="黑体" w:eastAsia="黑体"/>
          <w:b/>
          <w:sz w:val="32"/>
        </w:rPr>
        <w:t>参考文献</w:t>
      </w:r>
    </w:p>
    <w:p>
      <w:pPr>
        <w:spacing w:after="80"/>
        <w:ind w:firstLine="0"/>
      </w:pPr>
      <w:r>
        <w:rPr>
          <w:rFonts w:ascii="宋体" w:hAnsi="宋体" w:eastAsia="宋体"/>
          <w:b w:val="0"/>
          <w:sz w:val="22"/>
        </w:rPr>
        <w:t>[1] 尹迁齐. 基于短时交通流量预测的路网优化控制研究[D]. 山东交通学院, 2025.</w:t>
      </w:r>
    </w:p>
    <w:p>
      <w:pPr>
        <w:spacing w:after="80"/>
        <w:ind w:firstLine="0"/>
      </w:pPr>
      <w:r>
        <w:rPr>
          <w:rFonts w:ascii="宋体" w:hAnsi="宋体" w:eastAsia="宋体"/>
          <w:b w:val="0"/>
          <w:sz w:val="22"/>
        </w:rPr>
        <w:t>[2] 楼文辉. 基于多元LSTM的短期交通流量预测方法研究[J]. 交通企业管理, 2025, 40(04): 97-99.</w:t>
      </w:r>
    </w:p>
    <w:p>
      <w:pPr>
        <w:spacing w:after="80"/>
        <w:ind w:firstLine="0"/>
      </w:pPr>
      <w:r>
        <w:rPr>
          <w:rFonts w:ascii="宋体" w:hAnsi="宋体" w:eastAsia="宋体"/>
          <w:b w:val="0"/>
          <w:sz w:val="22"/>
        </w:rPr>
        <w:t>[3] Changxi Ma, Xiaoyu Huang, Yongpeng Zhao, et al. GRU-LSTM model based on the SSA for short-term traffic flow prediction[J]. Journal of Intelligent and Connected Vehicles, 2025, 8(1): 20-29.</w:t>
      </w:r>
    </w:p>
    <w:p>
      <w:pPr>
        <w:spacing w:after="80"/>
        <w:ind w:firstLine="0"/>
      </w:pPr>
      <w:r>
        <w:rPr>
          <w:rFonts w:ascii="宋体" w:hAnsi="宋体" w:eastAsia="宋体"/>
          <w:b w:val="0"/>
          <w:sz w:val="22"/>
        </w:rPr>
        <w:t>[4] Lan T, Zhang X, Qu D, et al. Short-Term Traffic Flow Prediction Based on the Optimization Study of Initial Weights of the Attention Mechanism[J]. Sustainability, 2023, 15(2): 1374.</w:t>
      </w:r>
    </w:p>
    <w:p>
      <w:pPr>
        <w:spacing w:after="80"/>
        <w:ind w:firstLine="0"/>
      </w:pPr>
      <w:r>
        <w:rPr>
          <w:rFonts w:ascii="宋体" w:hAnsi="宋体" w:eastAsia="宋体"/>
          <w:b w:val="0"/>
          <w:sz w:val="22"/>
        </w:rPr>
        <w:t>[5] 王海起, 王志海, 李留珂, 等. 基于网格划分的城市短时交通流量时空预测模型[J]. 计算机应用, 2022, 42(7): 2274-2280.</w:t>
      </w:r>
    </w:p>
    <w:p>
      <w:pPr>
        <w:spacing w:after="80"/>
        <w:ind w:firstLine="0"/>
      </w:pPr>
      <w:r>
        <w:rPr>
          <w:rFonts w:ascii="宋体" w:hAnsi="宋体" w:eastAsia="宋体"/>
          <w:b w:val="0"/>
          <w:sz w:val="22"/>
        </w:rPr>
        <w:t>[6] Polson N G, Sokolov V O. Deep learning for short-term traffic flow prediction[J]. Transportation Research Part C, 2017, 79: 1-17.</w:t>
      </w:r>
    </w:p>
    <w:p>
      <w:pPr>
        <w:spacing w:after="80"/>
        <w:ind w:firstLine="0"/>
      </w:pPr>
      <w:r>
        <w:rPr>
          <w:rFonts w:ascii="宋体" w:hAnsi="宋体" w:eastAsia="宋体"/>
          <w:b w:val="0"/>
          <w:sz w:val="22"/>
        </w:rPr>
        <w:t>[7] 美国加州交通局. PeMS交通监测数据集[EB/OL]. https://pems.dot.ca.gov/, 2025.</w:t>
      </w:r>
    </w:p>
    <w:p>
      <w:pPr>
        <w:spacing w:after="80"/>
        <w:ind w:firstLine="0"/>
      </w:pPr>
      <w:r>
        <w:rPr>
          <w:rFonts w:ascii="宋体" w:hAnsi="宋体" w:eastAsia="宋体"/>
          <w:b w:val="0"/>
          <w:sz w:val="22"/>
        </w:rPr>
        <w:t>[8] 王晟由, 邵春福, 董春娇, 等. 基于GPS轨迹数据的货车交通流量需求预测循环神经网络模型[J]. 北京交通大学学报, 2021, 45(3): 15-23.</w:t>
      </w:r>
    </w:p>
    <w:p>
      <w:pPr>
        <w:spacing w:after="80"/>
        <w:ind w:firstLine="0"/>
      </w:pPr>
      <w:r>
        <w:rPr>
          <w:rFonts w:ascii="宋体" w:hAnsi="宋体" w:eastAsia="宋体"/>
          <w:b w:val="0"/>
          <w:sz w:val="22"/>
        </w:rPr>
        <w:t>[9] 杨瑞, 冯慧芳. 基于注意力机制的CNN-BiGRU的短时交通流预测[J]. 软件工程与应用, 2021, 10(6): 823-832.</w:t>
      </w:r>
    </w:p>
    <w:p>
      <w:pPr>
        <w:spacing w:after="80"/>
        <w:ind w:firstLine="0"/>
      </w:pPr>
      <w:r>
        <w:rPr>
          <w:rFonts w:ascii="宋体" w:hAnsi="宋体" w:eastAsia="宋体"/>
          <w:b w:val="0"/>
          <w:sz w:val="22"/>
        </w:rPr>
        <w:t>[10] Zhuang W, Cao Y. Short-Term Traffic Flow Prediction Based on CNN-BILSTM with Multicomponent Information[J]. Applied Sciences, 2022, 12(17): 8714.</w:t>
      </w:r>
    </w:p>
    <w:p>
      <w:pPr>
        <w:spacing w:after="80"/>
        <w:ind w:firstLine="0"/>
      </w:pPr>
      <w:r>
        <w:rPr>
          <w:rFonts w:ascii="宋体" w:hAnsi="宋体" w:eastAsia="宋体"/>
          <w:b w:val="0"/>
          <w:sz w:val="22"/>
        </w:rPr>
        <w:t>[11] 赵今朝, 魏志成. ASTNN：一种用于道路级稀疏交通流预测的注意力时空神经网络模型[J]. 地球信息科学学报, 2025, 27(03): 682-697.</w:t>
      </w:r>
    </w:p>
    <w:p>
      <w:pPr>
        <w:spacing w:after="80"/>
        <w:ind w:firstLine="0"/>
      </w:pPr>
      <w:r>
        <w:rPr>
          <w:rFonts w:ascii="宋体" w:hAnsi="宋体" w:eastAsia="宋体"/>
          <w:b w:val="0"/>
          <w:sz w:val="22"/>
        </w:rPr>
        <w:t>[12] 王金水, 欧雪雯, 陈俊岩, 等. 基于组合模型的城市轨道站点短时客流分类预测[J]. 铁道科学与工程学报, 2023, 20(6): 2004-2012.</w:t>
      </w:r>
    </w:p>
    <w:p>
      <w:pPr>
        <w:spacing w:after="80"/>
        <w:ind w:firstLine="0"/>
      </w:pPr>
      <w:r>
        <w:rPr>
          <w:rFonts w:ascii="宋体" w:hAnsi="宋体" w:eastAsia="宋体"/>
          <w:b w:val="0"/>
          <w:sz w:val="22"/>
        </w:rPr>
        <w:t>[13] 姚俊峰, 何瑞, 史童童, 等. 基于机器学习的交通流预测方法综述[J]. 交通运输工程学报, 2023, 23(03): 44-67.</w:t>
      </w:r>
    </w:p>
    <w:p>
      <w:pPr>
        <w:spacing w:after="80"/>
        <w:ind w:firstLine="0"/>
      </w:pPr>
      <w:r>
        <w:rPr>
          <w:rFonts w:ascii="宋体" w:hAnsi="宋体" w:eastAsia="宋体"/>
          <w:b w:val="0"/>
          <w:sz w:val="22"/>
        </w:rPr>
        <w:t>[14] 张国赟, 金辉. 基于改进ARIMA模型的城市轨道交通短时客流预测研究[J]. 计算机应用与软件, 2022, 39(1): 339-344.</w:t>
      </w:r>
    </w:p>
    <w:p>
      <w:pPr>
        <w:spacing w:after="80"/>
        <w:ind w:firstLine="0"/>
      </w:pPr>
      <w:r>
        <w:rPr>
          <w:rFonts w:ascii="宋体" w:hAnsi="宋体" w:eastAsia="宋体"/>
          <w:b w:val="0"/>
          <w:sz w:val="22"/>
        </w:rPr>
        <w:t>[15] 祁朵, 毛政元. 基于自适应时序剖分与KNN的短时交通流量预测[J]. 地球信息科学学报, 2022, 24(02): 339-351.</w:t>
      </w:r>
    </w:p>
    <w:p>
      <w:pPr>
        <w:spacing w:after="80"/>
        <w:ind w:firstLine="0"/>
      </w:pPr>
      <w:r>
        <w:rPr>
          <w:rFonts w:ascii="宋体" w:hAnsi="宋体" w:eastAsia="宋体"/>
          <w:b w:val="0"/>
          <w:sz w:val="22"/>
        </w:rPr>
        <w:t>[16] Naheliya B, Redhu P, Kumar K. Bi-directional Long Short Term Memory Neural Network for Short-Term Traffic Speed Prediction Using Gravitational Search Algorithm[J]. International Journal of Intelligent Transportation Systems Research, 2024, 22(2): 316-327.</w:t>
      </w:r>
    </w:p>
    <w:p>
      <w:pPr>
        <w:spacing w:after="80"/>
        <w:ind w:firstLine="0"/>
      </w:pPr>
      <w:r>
        <w:rPr>
          <w:rFonts w:ascii="宋体" w:hAnsi="宋体" w:eastAsia="宋体"/>
          <w:b w:val="0"/>
          <w:sz w:val="22"/>
        </w:rPr>
        <w:t>[17] Rupal Verma, Sudhakar Pandey, Suvendu Rup. Traffic Flow Prediction Using LSTM, ARIMA &amp; SARIMA Model for Intelligent Transportation System[C]// 2024 ICSIT. 2024: 1-6.</w:t>
      </w:r>
    </w:p>
    <w:p>
      <w:pPr>
        <w:spacing w:after="80"/>
        <w:ind w:firstLine="0"/>
      </w:pPr>
      <w:r>
        <w:rPr>
          <w:rFonts w:ascii="宋体" w:hAnsi="宋体" w:eastAsia="宋体"/>
          <w:b w:val="0"/>
          <w:sz w:val="22"/>
        </w:rPr>
        <w:t>[18] Mohandu Anjaneyulu, Mohan Kubendiran. Short Term Traffic Flow Prediction Using Hybrid Deep Learning[J]. Computers, Materials &amp; Continua, 2023, (4): 1641-1656.</w:t>
      </w:r>
    </w:p>
    <w:p>
      <w:pPr>
        <w:spacing w:after="80"/>
        <w:ind w:firstLine="0"/>
      </w:pPr>
      <w:r>
        <w:rPr>
          <w:rFonts w:ascii="宋体" w:hAnsi="宋体" w:eastAsia="宋体"/>
          <w:b w:val="0"/>
          <w:sz w:val="22"/>
        </w:rPr>
        <w:t>[19] 满春涛, 康丹青. 考虑上下游的LSTM短时交通流预测[J]. 哈尔滨理工大学学报, 2019, 24(5): 101-107.</w:t>
      </w:r>
    </w:p>
    <w:p>
      <w:pPr>
        <w:spacing w:after="80"/>
        <w:ind w:firstLine="0"/>
      </w:pPr>
      <w:r>
        <w:rPr>
          <w:rFonts w:ascii="宋体" w:hAnsi="宋体" w:eastAsia="宋体"/>
          <w:b w:val="0"/>
          <w:sz w:val="22"/>
        </w:rPr>
        <w:t>[20] 涂凯. 融合天气特征的高速公路短时交通流预测系统研究[D]. 西安工业大学, 2025.</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