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﻿## CLIENT SLIDES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1 — Education Objective Embedded Within Total Portfolio</w:t>
      </w:r>
    </w:p>
    <w:p>
      <w:pPr>
        <w:spacing w:before="0" w:after="80" w:line="264" w:lineRule="auto"/>
      </w:pPr>
      <w:r>
        <w:rPr>
          <w:rFonts w:ascii="Arial" w:hAnsi="Arial"/>
          <w:b w:val="0"/>
          <w:i/>
          <w:sz w:val="22"/>
        </w:rPr>
        <w:t>Title: Liability-Aligned Education Planning (Age 5 to University in ~13 Years)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LEFT PANEL — Education Funding Governance Framework (Liability-First)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Today (Age 5): keep education embedded within the total portfolio, while formalizing an Education Liability Schedule + PV framework and setting a glide path (strategy locked, structure not locked).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Trigger (Age ~9–12): when remaining horizon falls below ~8–10 years, progressively de-risk the education sleeve toward Global IG and cash-like assets for liability matching.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Optional legal structure (Age ~12+): if isolation, succession, or cross-border governance needs become binding, consider establishing an education trust and transferring the de-risked sleeve.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One-line conclusion: first make funding sufficiency auditable through liability matching; then decide whether trust structuring is necessary.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Education Liability Schedule (C0=240,000; inflation=5.0%; discount rate=3.5%; start in year 13)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Year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Projected Cost (Nominal)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Discount Factor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Present Value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1 of university (k=13)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452,556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0.6394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289,366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2 of university (k=14)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475,184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0.6178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293,560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3 of university (k=15)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498,943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0.5969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297,814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4 of university (k=16)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523,890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0.5767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302,130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1,950,572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1,182,870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Coverage statement: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Under BASE case cash-flow capacity, annual portfolio income (SAA: 3,188,000; TAA: 3,240,800) materially exceeds average annual university cost (487,643), indicating funded status under current assumptions.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RIGHT PANEL — Portfolio Response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Glide-path framework (conceptual):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Phase 1 (Age 5–8): growth-oriented mix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Phase 2 (Age 9–12): gradual increase in Global IG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Phase 3 (Age 13–17): majority IG to immunize near-dated liability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SAA Allocation (Current Strategic Mix)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Asset/Sub-asset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Weight 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 Equity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Europe Equity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Japan Equity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Asia ex Japan Equity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Investment Grade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High Yield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Emerging Market Debt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Private Markets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Hedge Funds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SAA Key Metrics (Case-Derived)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Expected Return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9.60%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Volatility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8.58%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Income Yield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3.99%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Visual Placement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Left panel: education timeline + liability table.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Right panel: outputs/charts/saa_donut.png + SAA key metrics mini-table.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No historical backtest charts on this slide.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Footnotes / Compliance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Client-slide forward-looking metrics are derived from case inputs only.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Historical validation/backtest content is Appendix-only.</w:t>
      </w: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2 — Strategic and Tactical Asset Allocation</w:t>
      </w:r>
    </w:p>
    <w:p>
      <w:pPr>
        <w:spacing w:before="0" w:after="80" w:line="264" w:lineRule="auto"/>
      </w:pPr>
      <w:r>
        <w:rPr>
          <w:rFonts w:ascii="Arial" w:hAnsi="Arial"/>
          <w:b w:val="0"/>
          <w:i/>
          <w:sz w:val="22"/>
        </w:rPr>
        <w:t>Title: Portfolio Construction with Disciplined Tactical Overlay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TOP PANEL — Portfolio Construction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Tactical Adjustments (SAA vs TAA)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SAA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TAA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Delta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Asia ex Japan Equity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Emerging Market Debt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Europe Equity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+0.0%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High Yield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Investment Grade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17.0%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Hedge Funds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+0.0%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Japan Equity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Private Markets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14.0%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+2.0%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 Equity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13.0%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-2.0%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SAA vs TAA KPI Summary (Case-Derived)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(LOW)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(BASE)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(HIGH)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Volatility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Yield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-1.86%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9.60%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21.07%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8.58%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3.99%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-1.88%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9.95%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21.77%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8.81%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4.05%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Delta (TAA-SAA, pp)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-0.01pp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+0.34pp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+0.70pp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+0.23pp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+0.07pp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BOTTOM PANEL — Positioning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Equity positioning (weights-based):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Regional equity exposure is balanced across US, Europe, Japan, and Asia ex-Japan.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TAA rotates modestly toward Japan and Asia ex-Japan while trimming US.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Fixed income positioning (weights-based):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TAA tilts toward higher Global IG and trims HY + EM debt marginally.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Cash is reduced tactically to fund risk-controlled return enhancement.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Portfolio emphasizes: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Growth aligned with 13-year horizon.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Income sustainability above required threshold.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Diversified multi-asset exposures with private markets and alternatives.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Visual Placement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Top-left: outputs/charts/saa_donut.png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Top-middle: outputs/charts/taa_donut.png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Top-right: KPI summary table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Bottom-left: outputs/charts/equity_region_bar_saa.png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Bottom-right: outputs/charts/fi_bucket_bar_saa.png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Footnotes / Compliance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No ratings/sector/duration/YTM breakdown shown because not explicitly provided in case tables.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Full decomposition and validation references: Appendix A2–A8.</w:t>
      </w: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APPENDIX — Quantitative Validation &amp; Methodology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This section provides quantitative validation for the client-facing strategy.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Discount factor methodology: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DF_k = 1 / (1 + r)^k, with r = 3.5%.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DF_13 = 1/(1.035)^13 = 0.6394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DF_14 = 1/(1.035)^14 = 0.6178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DF_15 = 1/(1.035)^15 = 0.5969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DF_16 = 1/(1.035)^16 = 0.5767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PV_k = NominalCost_k × DF_k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Education Liability Schedule (Assumptions: C0=240,000; education inflation=5.0%; discount rate=3.5%; horizon starts in year 13)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Year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Projected Cost (Nominal)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Discount Factor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Present Value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1 of university (k=13)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452,556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0.6394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289,366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2 of university (k=14)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475,184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0.6178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293,560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3 of university (k=15)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498,943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0.5969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297,814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Year 4 of university (k=16)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523,890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0.5767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302,130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1,950,572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1,182,870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Education Funding Coverage Test (No Allocation Change)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SAA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TAA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Annual portfolio income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3,188,000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3,240,800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Average annual university cost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487,643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487,643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Coverage multiple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6.54x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6.65x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Coverage conclusion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Covered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A2 — Income Calculation Methodology (Case-Based)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Income Model Formulae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Portfolio Income Yield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Σ(wi × income component_i)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SAA: 3.99%; TAA: 4.05%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Annual Income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Income Yield × AUM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SAA: 3,188,000; TAA: 3,240,800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Monthly Income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Annual Income / 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SAA: 265,667; TAA: 270,067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Required Yield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300,000 / AUM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0.375%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Coverage Ratio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Monthly Income / 25,000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SAA: 10.63x; TAA: 10.80x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Income Component Inputs by Asset Class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Asset Class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Income Component (Case)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Equities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Fixed Income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Alternatives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1.5%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A3 — Expected Return Decomposition (Case Inputs)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Bucket-Level Return / Volatility Inputs and Contributions (SAA)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Bucket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Weight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Representative Fund (Case)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Return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Volatility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BASE Contribution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 Equity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JPMorgan America Equity Fund (LU0210528500)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14.4%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2.16%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Europe Equity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HSBC GIF Euroland Value Equity (LU1193295406)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16.5%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16.7%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1.65%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Japan Equity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Pictet Japanese Equity Opportunities (LU0936264273)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18.0%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1.80%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Asia ex Japan Equity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Schroder Asian Equity Yield (LU0188438112)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16.7%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0.87%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Investment Grade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HSBC Global IG Securitised Credit (LU1728044204)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0.53%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High Yield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Schroder Global High Yield (LU0418832605)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0.19%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Emerging Market Debt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BlackRock Emerging Markets Bond (LU0200680600)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0.32%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Private Markets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12.0%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Private Equity Fund (Appendix II)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19.6%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1.19%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Hedge Funds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Multi-Strategy Multi-PM (Appendix II)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6.8%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0.82%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5.0%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Case cash assumption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0.08%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Portfolio Outputs from Case Inputs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(LOW)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(BASE)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Expected Return (HIGH)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Volatility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-1.86%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9.60%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21.07%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8.58%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-1.88%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9.95%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21.77%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8.81%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Volatility Reconciliation Note: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Current volatility figures (SAA 8.58%, TAA 8.81%) use case bucket vol with empirical cross-asset correlation estimated from live proxy history.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If official full case covariance matrix is provided, rerun sigma = sqrt(w^T Sigma w) and overwrite final volatility lock values.</w:t>
      </w: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A4 — Proxy Mapping Table (Validation Only)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Historical Validation Proxy Mapping (Not Used for Forward Assumptions)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Case Bucket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Validation Proxy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US Equity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SPY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Europe Equity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VGK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Japan Equity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EWJ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Asia ex Japan Equity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Investment Grade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AGG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Global High Yield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HYG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Emerging Market Debt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EMB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Private Markets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BIZD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Hedge Funds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BTAL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BIL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A5 — Backtest Metrics (Validation Only)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Visual Placement: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outputs/charts/equity_curve.png (Top panel)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outputs/charts/drawdown.png (Second panel)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outputs/charts/rolling_12m_return.png (Bottom-left)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outputs/charts/monthly_return_hist.png (Bottom-middle)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outputs/charts/sharpe_distribution.png (Bottom-right)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Historical Validation Metrics (Proxy-Based)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portfolio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cagr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ann_vol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sharpe_rf0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sharpe_rf_cash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sortino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max_drawdown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calmar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worst_month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best_month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%positive_months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tracking_error_vs_saa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Current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0.111652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0.135004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0.851856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0.689186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0.832599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-0.260895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0.427957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-0.0965878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0.0886716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0.056677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SAA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0.0746864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0.0969828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0.791499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0.565056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0.662938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-0.229063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0.326052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-0.107193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0.0837987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TAA Static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0.0775348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0.103578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0.77309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0.561066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0.656544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-0.248463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0.312058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-0.113701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0.0884866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0.681818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0.0100669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TAA Quarterly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0.0761082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0.101401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0.774394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0.557817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0.660098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-0.232765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0.326974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-0.109344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0.0870995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0.681818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0.00712258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A6 — Stress Tests (Validation Only)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Visual Placement: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outputs/charts/stress_bar.png (Figure A6.1 — Scenario Impact Ranking)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Historical Stress Windows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window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cum_return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peak_to_trough_dd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recovery_days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-0.107027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-0.260103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-0.103562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-0.228479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-0.108542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-0.247634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-0.104713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-0.231965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-0.16156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-0.210017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-0.170225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-0.200675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-0.174344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-0.205101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-0.176026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-0.207391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-0.104425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-0.144511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-0.0675693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-0.0888146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-0.0713516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-0.0933128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-0.0741509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-0.0958279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nan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A7 — Data Coverage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Visual Placement: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No chart (table-only)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Live Validation Data Coverage (yfinance)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ticker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start_date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end_date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coverage_pct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missing_days_pct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source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AGG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BIZD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BTAL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EMB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EWJ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HYG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SPY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VGK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2017-01-03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2026-02-27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96.3165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3.68355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yfinance</w:t>
            </w:r>
          </w:p>
        </w:tc>
      </w:tr>
    </w:tbl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A8 — Transaction Cost Sensitivity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Visual Placement: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No chart (table-only)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Turnover Cost Sensitivity (Validation Only)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tc_bps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cagr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sharpe_rf_cash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max_drawdown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0.111829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0.690377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-0.260895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0.0749198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0.567313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-0.229063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0.0775348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0.561066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-0.248463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0.0762465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0.559093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-0.232765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0.111652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0.689186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-0.260895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0.0746864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0.565056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-0.229063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0.0775348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0.561066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-0.248463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0.0761082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0.557817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-0.232765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0.111386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0.6874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-0.260895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0.0743363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0.56167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-0.229063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0.0775348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0.561066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-0.248463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0.0759009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0.555903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-0.232765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Disclosure: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Historical data used solely for robustness validation. Forward-looking assumptions derived exclusively from case inputs.</w:t>
      </w:r>
    </w:p>
    <w:p>
      <w:r>
        <w:br w:type="page"/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8"/>
        </w:rPr>
        <w:t>SLIDE A9 — Portfolio Backtesting &amp; Downside Risk Analysis</w:t>
      </w:r>
    </w:p>
    <w:p>
      <w:pPr>
        <w:spacing w:before="0" w:after="80" w:line="264" w:lineRule="auto"/>
      </w:pPr>
      <w:r>
        <w:rPr>
          <w:rFonts w:ascii="Arial" w:hAnsi="Arial"/>
          <w:b w:val="0"/>
          <w:i/>
          <w:sz w:val="22"/>
        </w:rPr>
        <w:t>Title: Portfolio Backtesting &amp; Downside Risk Analysis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Top Left — Risk Matrix (Portfolio-Specific)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Risk Category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Portfolio-Specific Manifestation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Current Control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Equity beta drawdown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Equity sleeve can drive short-term mark-to-market losses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Diversified regional equity + alternatives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Credit spread widening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HY/EM debt spread shock can reduce near-term valuation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IG anchor + limited HY weight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Liquidity mismatch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Private markets are less liquid than public sleeves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Cash + listed liquid sleeves for near-term needs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Sequence risk (education horizon)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Adverse window before liability dates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Glide-path trigger (8–10y to liability)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Tactical drift risk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Overlay can add unintended risk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±2% tactical bands and periodic rebalance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Top Right — Monte Carlo Distribution (BASE: mu=9.6%, sigma=8.6%, horizon=13y, AUM=80m)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Visual Placement: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outputs/charts/monte_carlo_terminal_wealth.png (Figure A9.1 — Terminal Wealth Distribution, USD mn)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Terminal Wealth Percentiles (USD mn)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percentile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terminal_wealth_usd_mn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130.44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159.59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p10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178.02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p25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215.01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p50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265.78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p75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326.78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p90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395.14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p95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440.89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p99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548.24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Funding probability statement: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Education PV liability reference: USD 1.18mn.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Probability of terminal wealth &gt;= education PV: 100.00%.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Bottom Left — Historical VaR Summary (95%)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1-day and 10-day Historical VaR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VaR_1d_95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VaR_10d_95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0.86%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2.42%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0.90%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2.58%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0.91%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2.64%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1.25%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3.66%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/>
          <w:i w:val="0"/>
          <w:sz w:val="22"/>
        </w:rPr>
        <w:t>Bottom Right — Scenario Analysis (Historical Windows)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sz w:val="20"/>
        </w:rPr>
        <w:t>Table caption: COVID / rates_2022 / q4_2018 outcomes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window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portfolio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cum_return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peak_to_trough_dd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-10.70%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-26.01%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-10.36%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-22.85%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-10.85%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-24.76%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-10.47%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-23.20%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-16.16%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-21.00%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-17.02%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-20.07%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-17.43%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-20.51%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rates_2022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-17.60%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-20.74%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Current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-10.44%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-14.45%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-6.76%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-8.88%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Static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-7.14%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-9.33%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q4_2018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TAA Quarterly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-7.42%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-9.58%</w:t>
            </w:r>
          </w:p>
        </w:tc>
      </w:tr>
    </w:tbl>
    <w:p>
      <w:pPr>
        <w:spacing w:before="0" w:after="80" w:line="264" w:lineRule="auto"/>
      </w:pPr>
      <w:r>
        <w:rPr>
          <w:rFonts w:ascii="Arial" w:hAnsi="Arial"/>
          <w:b w:val="0"/>
          <w:i w:val="0"/>
          <w:sz w:val="20"/>
        </w:rPr>
        <w:t>Narrative: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Volatility remains controlled relative to growth objective under the strategic design.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Education PV liability (1.18mn) is immaterial versus total AUM (80mn).</w:t>
      </w:r>
    </w:p>
    <w:p>
      <w:pPr>
        <w:pStyle w:val="ListBullet"/>
        <w:spacing w:before="0" w:after="80" w:line="264" w:lineRule="auto"/>
      </w:pPr>
      <w:r>
        <w:rPr>
          <w:rFonts w:ascii="Arial" w:hAnsi="Arial"/>
          <w:sz w:val="20"/>
        </w:rPr>
        <w:t>Tactical overlay improves opportunity set without materially increasing tail-risk 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