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sz w:val="28"/>
        </w:rPr>
        <w:t>CHAPTER TWO</w:t>
      </w:r>
    </w:p>
    <w:p>
      <w:pPr>
        <w:spacing w:before="120" w:after="80"/>
        <w:jc w:val="center"/>
      </w:pPr>
      <w:r>
        <w:rPr>
          <w:rFonts w:ascii="Times New Roman" w:hAnsi="Times New Roman"/>
          <w:b/>
          <w:i w:val="0"/>
          <w:sz w:val="28"/>
        </w:rPr>
        <w:t>LITERATURE REVIEW</w:t>
      </w:r>
    </w:p>
    <w:p>
      <w:pPr>
        <w:spacing w:before="280" w:after="120"/>
      </w:pPr>
      <w:r>
        <w:rPr>
          <w:rFonts w:ascii="Times New Roman" w:hAnsi="Times New Roman"/>
          <w:b/>
          <w:i w:val="0"/>
          <w:sz w:val="24"/>
        </w:rPr>
        <w:t>2.1 Introduction</w:t>
      </w:r>
    </w:p>
    <w:p>
      <w:pPr>
        <w:spacing w:after="120"/>
        <w:ind w:firstLine="720"/>
        <w:jc w:val="both"/>
      </w:pPr>
      <w:r>
        <w:rPr>
          <w:rFonts w:ascii="Times New Roman" w:hAnsi="Times New Roman"/>
          <w:b w:val="0"/>
          <w:i w:val="0"/>
          <w:sz w:val="24"/>
        </w:rPr>
        <w:t>This chapter presents the theoretical background and a review of existing systems and technologies related to small and medium-sized enterprise analytics, business intelligence, and enterprise decision support. The chapter is structured in four parts. Section 2.2 establishes the theoretical foundations, covering machine learning for business failure prediction, survival analysis, gradient boosting ensemble methods, model explainability, and large language models. Section 2.3 reviews ten existing platforms across SME management, data collection, and analytics. Section 2.4 compares these systems against standard evaluation criteria. Section 2.5 identifies the specific gaps in current approaches that motivated the design of BizNess OS.</w:t>
      </w:r>
    </w:p>
    <w:p>
      <w:pPr>
        <w:spacing w:before="280" w:after="120"/>
      </w:pPr>
      <w:r>
        <w:rPr>
          <w:rFonts w:ascii="Times New Roman" w:hAnsi="Times New Roman"/>
          <w:b/>
          <w:i w:val="0"/>
          <w:sz w:val="24"/>
        </w:rPr>
        <w:t>2.2 Theoretical Background</w:t>
      </w:r>
    </w:p>
    <w:p>
      <w:pPr>
        <w:spacing w:after="120"/>
        <w:ind w:firstLine="720"/>
        <w:jc w:val="both"/>
      </w:pPr>
      <w:r>
        <w:rPr>
          <w:rFonts w:ascii="Times New Roman" w:hAnsi="Times New Roman"/>
          <w:b w:val="0"/>
          <w:i w:val="0"/>
          <w:sz w:val="24"/>
        </w:rPr>
        <w:t>The development of BizNess OS draws on several intersecting fields: applied machine learning, survival analysis, ensemble learning, explainable AI, and large language model inference. Each area directly informs a component of the platform.</w:t>
      </w:r>
    </w:p>
    <w:p>
      <w:pPr>
        <w:spacing w:before="200" w:after="80"/>
      </w:pPr>
      <w:r>
        <w:rPr>
          <w:rFonts w:ascii="Times New Roman" w:hAnsi="Times New Roman"/>
          <w:b/>
          <w:i w:val="0"/>
          <w:sz w:val="24"/>
        </w:rPr>
        <w:t>2.2.1 Small and Medium-sized Enterprise Analytics</w:t>
      </w:r>
    </w:p>
    <w:p>
      <w:pPr>
        <w:spacing w:after="120"/>
        <w:ind w:firstLine="720"/>
        <w:jc w:val="both"/>
      </w:pPr>
      <w:r>
        <w:rPr>
          <w:rFonts w:ascii="Times New Roman" w:hAnsi="Times New Roman"/>
          <w:b w:val="0"/>
          <w:i w:val="0"/>
          <w:sz w:val="24"/>
        </w:rPr>
        <w:t>Small and medium-sized enterprises form the backbone of economic activity in sub-Saharan Africa, contributing over 50 percent of employment and a significant portion of GDP across the region (African Development Bank Group, 2022). In Cameroon, the sector operates under conditions of high informality, limited credit access, and weak financial management infrastructure. The World Bank Enterprise Survey 2024 for Cameroon documents capital access, regulatory burden, and electricity reliability as top operational constraints facing SMEs (World Bank Group, 2023). National statistics from the Ministere des Petites et Moyennes Entreprises indicate that approximately 94.6 percent of Cameroonian SMEs do not survive five years of operation (MINPMEESA, 2022). These structural conditions mean that decisions made in the first year of business, covering location, sector, capitalisation, and staffing, carry outsized consequences for long-term viability.</w:t>
      </w:r>
    </w:p>
    <w:p>
      <w:pPr>
        <w:spacing w:after="120"/>
        <w:ind w:firstLine="720"/>
        <w:jc w:val="both"/>
      </w:pPr>
      <w:r>
        <w:rPr>
          <w:rFonts w:ascii="Times New Roman" w:hAnsi="Times New Roman"/>
          <w:b w:val="0"/>
          <w:i w:val="0"/>
          <w:sz w:val="24"/>
        </w:rPr>
        <w:t>Analytics tools for SMEs must account for data scarcity, low digital literacy, and the unstructured nature of informal business records. Data-driven approaches can extract predictive signals from structured business attributes and historical outcomes where traditional intuition-based methods fail. BizNess OS addresses data scarcity directly by combining a 15,000-row research-calibrated synthetic dataset with 27 primary survey responses collected across Douala, Yaounde, Buea, Limbe, Bamenda, and Bafoussam, and 615 rows drawn from the World Bank Cameroon Enterprise Survey 2024 microdata. Differential sample weights reflect the empirical authority of each source.</w:t>
      </w:r>
    </w:p>
    <w:p>
      <w:pPr>
        <w:spacing w:before="200" w:after="80"/>
      </w:pPr>
      <w:r>
        <w:rPr>
          <w:rFonts w:ascii="Times New Roman" w:hAnsi="Times New Roman"/>
          <w:b/>
          <w:i w:val="0"/>
          <w:sz w:val="24"/>
        </w:rPr>
        <w:t>2.2.2 Machine Learning for Business Failure Prediction</w:t>
      </w:r>
    </w:p>
    <w:p>
      <w:pPr>
        <w:spacing w:after="120"/>
        <w:ind w:firstLine="720"/>
        <w:jc w:val="both"/>
      </w:pPr>
      <w:r>
        <w:rPr>
          <w:rFonts w:ascii="Times New Roman" w:hAnsi="Times New Roman"/>
          <w:b w:val="0"/>
          <w:i w:val="0"/>
          <w:sz w:val="24"/>
        </w:rPr>
        <w:t>Machine learning encompasses algorithms that learn patterns from labelled historical data to produce predictions on unseen inputs (Ke et al., 2017). For business failure prediction, the task is typically framed as binary classification: given a set of business attributes, predict whether a firm survives beyond a defined period. Features commonly include financial ratios, industry sector, geographic location, workforce size, and owner characteristics.</w:t>
      </w:r>
    </w:p>
    <w:p>
      <w:pPr>
        <w:spacing w:after="120"/>
        <w:ind w:firstLine="720"/>
        <w:jc w:val="both"/>
      </w:pPr>
      <w:r>
        <w:rPr>
          <w:rFonts w:ascii="Times New Roman" w:hAnsi="Times New Roman"/>
          <w:b w:val="0"/>
          <w:i w:val="0"/>
          <w:sz w:val="24"/>
        </w:rPr>
        <w:t>A persistent challenge in this domain is class imbalance. With a baseline survival rate of approximately 17.7 percent in the BizNess OS training dataset, a classifier that always predicts failure would achieve over 80 percent accuracy while providing no useful information. Addressing this requires stratified cross-validation, class-weight balancing, and post-training probability calibration. BizNess OS applies per-row sample weights during training to reflect the reliability of each data source and uses sklearn's CalibratedClassifierCV with isotonic regression to correct systematic overconfidence in high-probability predictions. The ensemble of LightGBM and CatBoost models achieved an AUC-ROC of 0.83, a Brier score of 0.14, and an F1 score of 0.70 on the held-out test partition.</w:t>
      </w:r>
    </w:p>
    <w:p>
      <w:pPr>
        <w:spacing w:before="200" w:after="80"/>
      </w:pPr>
      <w:r>
        <w:rPr>
          <w:rFonts w:ascii="Times New Roman" w:hAnsi="Times New Roman"/>
          <w:b/>
          <w:i w:val="0"/>
          <w:sz w:val="24"/>
        </w:rPr>
        <w:t>2.2.3 Survival Analysis and the Cox Proportional Hazards Model</w:t>
      </w:r>
    </w:p>
    <w:p>
      <w:pPr>
        <w:spacing w:after="120"/>
        <w:ind w:firstLine="720"/>
        <w:jc w:val="both"/>
      </w:pPr>
      <w:r>
        <w:rPr>
          <w:rFonts w:ascii="Times New Roman" w:hAnsi="Times New Roman"/>
          <w:b w:val="0"/>
          <w:i w:val="0"/>
          <w:sz w:val="24"/>
        </w:rPr>
        <w:t>Survival analysis is a statistical framework for modelling the time until a defined event occurs (Cox, 1972). Unlike binary classification, which predicts only whether an event will occur, survival analysis estimates when it will occur and at what rate. The core quantity is the hazard function h(t), representing the instantaneous risk of the event at time t given that it has not occurred before t.</w:t>
      </w:r>
    </w:p>
    <w:p>
      <w:pPr>
        <w:spacing w:after="120"/>
        <w:ind w:firstLine="720"/>
        <w:jc w:val="both"/>
      </w:pPr>
      <w:r>
        <w:rPr>
          <w:rFonts w:ascii="Times New Roman" w:hAnsi="Times New Roman"/>
          <w:b w:val="0"/>
          <w:i w:val="0"/>
          <w:sz w:val="24"/>
        </w:rPr>
        <w:t>The Cox Proportional Hazards model specifies the hazard as h(t|X) = h0(t) exp(Beta^T X), where h0(t) is an unspecified baseline hazard and X is the covariate vector (Cox, 1972). The exponential term estimates the multiplicative effect of each covariate on the hazard without assuming a parametric baseline distribution. Parameters are estimated by maximising the partial likelihood conditioned on the observed event ordering. In BizNess OS, the Cox PH model is implemented with lifelines 0.29.0, using business age in years as the duration variable and a binary three-year survival indicator as the event. The model outputs a median time to failure and a survival probability curve at one, two, and three years, both embedded in the downloadable PDF advisory report.</w:t>
      </w:r>
    </w:p>
    <w:p>
      <w:pPr>
        <w:spacing w:before="200" w:after="80"/>
      </w:pPr>
      <w:r>
        <w:rPr>
          <w:rFonts w:ascii="Times New Roman" w:hAnsi="Times New Roman"/>
          <w:b/>
          <w:i w:val="0"/>
          <w:sz w:val="24"/>
        </w:rPr>
        <w:t>2.2.4 Gradient Boosting Ensemble Methods</w:t>
      </w:r>
    </w:p>
    <w:p>
      <w:pPr>
        <w:spacing w:after="120"/>
        <w:ind w:firstLine="720"/>
        <w:jc w:val="both"/>
      </w:pPr>
      <w:r>
        <w:rPr>
          <w:rFonts w:ascii="Times New Roman" w:hAnsi="Times New Roman"/>
          <w:b w:val="0"/>
          <w:i w:val="0"/>
          <w:sz w:val="24"/>
        </w:rPr>
        <w:t>Gradient boosting constructs a strong predictive model by sequentially adding weak learners, typically shallow decision trees, where each successive tree corrects the residuals of the current ensemble (Ke et al., 2017). Two state-of-the-art implementations are used in BizNess OS.</w:t>
      </w:r>
    </w:p>
    <w:p>
      <w:pPr>
        <w:spacing w:after="120"/>
        <w:ind w:firstLine="720"/>
        <w:jc w:val="both"/>
      </w:pPr>
      <w:r>
        <w:rPr>
          <w:rFonts w:ascii="Times New Roman" w:hAnsi="Times New Roman"/>
          <w:b w:val="0"/>
          <w:i w:val="0"/>
          <w:sz w:val="24"/>
        </w:rPr>
        <w:t>LightGBM, introduced by Ke et al. (2017), uses histogram-based feature binning and leaf-wise tree growth rather than depth-wise growth. This approach reduces memory consumption and training time substantially on large datasets. CatBoost, introduced by Prokhorenkova et al. (2018), uses ordered boosting to handle categorical features without target leakage during training. Both models are independently strong predictors. Combining them through soft voting, where output probabilities are averaged before applying the survival computation function, produces a more stable and generalisable prediction than either model alone. Stratified five-fold cross-validation preserved the survival class proportion in each fold during training.</w:t>
      </w:r>
    </w:p>
    <w:p>
      <w:pPr>
        <w:spacing w:before="200" w:after="80"/>
      </w:pPr>
      <w:r>
        <w:rPr>
          <w:rFonts w:ascii="Times New Roman" w:hAnsi="Times New Roman"/>
          <w:b/>
          <w:i w:val="0"/>
          <w:sz w:val="24"/>
        </w:rPr>
        <w:t>2.2.5 Model Explainability with SHAP Values</w:t>
      </w:r>
    </w:p>
    <w:p>
      <w:pPr>
        <w:spacing w:after="120"/>
        <w:ind w:firstLine="720"/>
        <w:jc w:val="both"/>
      </w:pPr>
      <w:r>
        <w:rPr>
          <w:rFonts w:ascii="Times New Roman" w:hAnsi="Times New Roman"/>
          <w:b w:val="0"/>
          <w:i w:val="0"/>
          <w:sz w:val="24"/>
        </w:rPr>
        <w:t>Ensemble models such as gradient boosted trees are inherently complex and their predictions are not directly interpretable. In a business advisory context, an entrepreneur receiving a 43 percent survival probability needs to understand which aspects of their business drive that estimate before they can act on it. Explainable AI techniques address this gap.</w:t>
      </w:r>
    </w:p>
    <w:p>
      <w:pPr>
        <w:spacing w:after="120"/>
        <w:ind w:firstLine="720"/>
        <w:jc w:val="both"/>
      </w:pPr>
      <w:r>
        <w:rPr>
          <w:rFonts w:ascii="Times New Roman" w:hAnsi="Times New Roman"/>
          <w:b w:val="0"/>
          <w:i w:val="0"/>
          <w:sz w:val="24"/>
        </w:rPr>
        <w:t>SHAP, or Shapley Additive Explanations, provides a game-theoretic framework for explaining individual model predictions (Lundberg and Lee, 2017). For each prediction, SHAP computes a contribution value for every input feature, representing how much that feature shifted the prediction from the model's expected base value. Positive values indicate features increasing predicted survival; negative values indicate features reducing it. BizNess OS applies SHAP 0.45.0 to the XGBoost profit regressor to identify the five features with the largest absolute contribution to each profit estimate. These feature names and contribution values are passed as structured context into the Groq advisory prompt, grounding the natural language report in specific, quantifiable reasoning.</w:t>
      </w:r>
    </w:p>
    <w:p>
      <w:pPr>
        <w:spacing w:before="200" w:after="80"/>
      </w:pPr>
      <w:r>
        <w:rPr>
          <w:rFonts w:ascii="Times New Roman" w:hAnsi="Times New Roman"/>
          <w:b/>
          <w:i w:val="0"/>
          <w:sz w:val="24"/>
        </w:rPr>
        <w:t>2.2.6 Large Language Models for Advisory Generation</w:t>
      </w:r>
    </w:p>
    <w:p>
      <w:pPr>
        <w:spacing w:after="120"/>
        <w:ind w:firstLine="720"/>
        <w:jc w:val="both"/>
      </w:pPr>
      <w:r>
        <w:rPr>
          <w:rFonts w:ascii="Times New Roman" w:hAnsi="Times New Roman"/>
          <w:b w:val="0"/>
          <w:i w:val="0"/>
          <w:sz w:val="24"/>
        </w:rPr>
        <w:t>Large language models are neural networks trained on broad text corpora through self-supervised objectives, developing the ability to generate coherent and contextually appropriate text across diverse domains (Groq, 2025). When prompted with structured business data and prediction results, a well-configured model can produce advisory reports that translate technical outputs into plain-language recommendations tailored to the entrepreneur's specific context.</w:t>
      </w:r>
    </w:p>
    <w:p>
      <w:pPr>
        <w:spacing w:after="120"/>
        <w:ind w:firstLine="720"/>
        <w:jc w:val="both"/>
      </w:pPr>
      <w:r>
        <w:rPr>
          <w:rFonts w:ascii="Times New Roman" w:hAnsi="Times New Roman"/>
          <w:b w:val="0"/>
          <w:i w:val="0"/>
          <w:sz w:val="24"/>
        </w:rPr>
        <w:t>BizNess OS accesses the Groq inference API to run the llama-3.3-70b-versatile model, a 70-billion parameter instruction-tuned language model. The model is called at temperature 0.3 to reduce output variability and produce consistent advisory text across repeated queries with similar inputs. Setting response_format to JSON object mode ensures the advisory returns as a structured dictionary the backend can parse and store reliably. Across 50 test calls, the average response time was 1.8 seconds, compared to approximately 15 seconds with the previous Gemini API integration. The advisory report covers an executive summary, a prediction explanation, a Cameroon-specific tax breakdown, an optimal business model recommendation, and actionable future steps.</w:t>
      </w:r>
    </w:p>
    <w:p>
      <w:pPr>
        <w:spacing w:before="280" w:after="120"/>
      </w:pPr>
      <w:r>
        <w:rPr>
          <w:rFonts w:ascii="Times New Roman" w:hAnsi="Times New Roman"/>
          <w:b/>
          <w:i w:val="0"/>
          <w:sz w:val="24"/>
        </w:rPr>
        <w:t>2.3 Review of Existing Systems and Technologies</w:t>
      </w:r>
    </w:p>
    <w:p>
      <w:pPr>
        <w:spacing w:after="120"/>
        <w:ind w:firstLine="720"/>
        <w:jc w:val="both"/>
      </w:pPr>
      <w:r>
        <w:rPr>
          <w:rFonts w:ascii="Times New Roman" w:hAnsi="Times New Roman"/>
          <w:b w:val="0"/>
          <w:i w:val="0"/>
          <w:sz w:val="24"/>
        </w:rPr>
        <w:t>Ten existing systems related to SME analytics, business intelligence, enterprise resource planning, and data collection are reviewed. Each is evaluated across five criteria: the problems addressed, stated objectives, tools and technologies used, outcomes or scale of adoption, and relevance to the proposed BizNess OS platform.</w:t>
      </w:r>
    </w:p>
    <w:p>
      <w:pPr>
        <w:spacing w:before="200" w:after="80"/>
      </w:pPr>
      <w:r>
        <w:rPr>
          <w:rFonts w:ascii="Times New Roman" w:hAnsi="Times New Roman"/>
          <w:b/>
          <w:i w:val="0"/>
          <w:sz w:val="24"/>
        </w:rPr>
        <w:t>2.3.1 World Bank Enterprise Surveys</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Lack of reliable enterprise-level data in developing economies, limiting evidence-based SME policy design.</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Collect standardised data on business performance, employment, finance, and regulation across over 140 countries.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Structured surveys, statistical analysis tools, and relational databases.</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Deployed in over 140 countries and widely used for SME policy analysis and academic research.</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Provides high-quality SME microdata but offers no real-time prediction or direct entrepreneur access. BizNess OS incorporates 615 rows from the 2024 Cameroon Enterprise Survey microdata as a training source (World Bank Group, 2023).</w:t>
      </w:r>
    </w:p>
    <w:p>
      <w:pPr>
        <w:spacing w:before="200" w:after="80"/>
      </w:pPr>
      <w:r>
        <w:rPr>
          <w:rFonts w:ascii="Times New Roman" w:hAnsi="Times New Roman"/>
          <w:b/>
          <w:i w:val="0"/>
          <w:sz w:val="24"/>
        </w:rPr>
        <w:t>2.3.2 International Finance Corporation SME Toolkit</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Limited business knowledge and planning skills among SME owners in emerging markets.</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Provide practical guidance, templates, and training resources for small businesses.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Web-based content platforms and document management systems.</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Adopted by SMEs and educational institutions in multiple countries for business education.</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Focuses on static advisory content rather than automated analytics or personalised prediction. BizNess OS extends this concept by generating real-time advisory reports driven by machine learning outputs (International Finance Corporation, 2022).</w:t>
      </w:r>
    </w:p>
    <w:p>
      <w:pPr>
        <w:spacing w:before="200" w:after="80"/>
      </w:pPr>
      <w:r>
        <w:rPr>
          <w:rFonts w:ascii="Times New Roman" w:hAnsi="Times New Roman"/>
          <w:b/>
          <w:i w:val="0"/>
          <w:sz w:val="24"/>
        </w:rPr>
        <w:t>2.3.3 Crunchbase</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Limited transparency on startup funding trends, investor activity, and company growth trajectories.</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Track companies, investors, and funding activities at a global scale.</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Python, cloud databases, search and analytics pipelines.</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Used by millions of analysts and investors worldwide for market intelligence.</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Targets high-growth technology startups rather than informal small enterprises. The platform is not designed for the Cameroonian SME context and requires subscription fees (Crunchbase Inc., 2024).</w:t>
      </w:r>
    </w:p>
    <w:p>
      <w:pPr>
        <w:spacing w:before="200" w:after="80"/>
      </w:pPr>
      <w:r>
        <w:rPr>
          <w:rFonts w:ascii="Times New Roman" w:hAnsi="Times New Roman"/>
          <w:b/>
          <w:i w:val="0"/>
          <w:sz w:val="24"/>
        </w:rPr>
        <w:t>2.3.4 CB Insights</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Difficulty predicting market trends and evaluating business investment risk.</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Apply predictive analytics to business and investment data for enterprises and venture capital firms.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Machine learning models, big data processing pipelines, and natural language processing.</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Adopted by Fortune 500 companies and venture capital firms for competitor and market intelligence.</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The predictive analytics approach is conceptually relevant but inaccessible to local SME owners due to high subscription costs and a focus on investor-grade intelligence (CB Insights, 2024).</w:t>
      </w:r>
    </w:p>
    <w:p>
      <w:pPr>
        <w:spacing w:before="200" w:after="80"/>
      </w:pPr>
      <w:r>
        <w:rPr>
          <w:rFonts w:ascii="Times New Roman" w:hAnsi="Times New Roman"/>
          <w:b/>
          <w:i w:val="0"/>
          <w:sz w:val="24"/>
        </w:rPr>
        <w:t>2.3.5 SAP Business One</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Fragmented SME operations covering purchasing, inventory, financial management, and reporting.</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Provide enterprise resource planning tailored to small and medium-sized businesses.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Java, SAP HANA, relational databases, and cloud deployment infrastructure.</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Adopted by structured SMEs in over 150 countries.</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High licensing and implementation costs restrict adoption by Cameroonian SMEs. The platform provides no survival prediction or localised advisory output (SAP SE, 2023).</w:t>
      </w:r>
    </w:p>
    <w:p>
      <w:pPr>
        <w:spacing w:before="200" w:after="80"/>
      </w:pPr>
      <w:r>
        <w:rPr>
          <w:rFonts w:ascii="Times New Roman" w:hAnsi="Times New Roman"/>
          <w:b/>
          <w:i w:val="0"/>
          <w:sz w:val="24"/>
        </w:rPr>
        <w:t>2.3.6 Oracle NetSuite</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Inefficient business operations, financial reporting delays, and data fragmentation across departments.</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Deliver cloud-based ERP and financial analytics services to medium-sized companies.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Java, Oracle databases, and cloud infrastructure.</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Used by thousands of medium-sized companies globally.</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Lacks survival prediction models, localised economic data for African markets, and mobile-first design for field entrepreneurs (Oracle Corporation, 2023).</w:t>
      </w:r>
    </w:p>
    <w:p>
      <w:pPr>
        <w:spacing w:before="200" w:after="80"/>
      </w:pPr>
      <w:r>
        <w:rPr>
          <w:rFonts w:ascii="Times New Roman" w:hAnsi="Times New Roman"/>
          <w:b/>
          <w:i w:val="0"/>
          <w:sz w:val="24"/>
        </w:rPr>
        <w:t>2.3.7 Microsoft Power BI</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Difficulty analysing and communicating business performance data across departments.</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Provide interactive dashboards and business intelligence tools for non-technical users.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SQL, DAX query language, and Microsoft Azure cloud services.</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Widely adopted across industries for data visualisation and reporting.</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Requires pre-processed data from external sources and offers no built-in SME survival analytics. BizNess OS integrates analytics directly within the platform rather than requiring a separate visualisation layer (Microsoft Corporation, 2024).</w:t>
      </w:r>
    </w:p>
    <w:p>
      <w:pPr>
        <w:spacing w:before="200" w:after="80"/>
      </w:pPr>
      <w:r>
        <w:rPr>
          <w:rFonts w:ascii="Times New Roman" w:hAnsi="Times New Roman"/>
          <w:b/>
          <w:i w:val="0"/>
          <w:sz w:val="24"/>
        </w:rPr>
        <w:t>2.3.8 Tableau</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Complex data exploration and reporting requirements that exceed the capabilities of basic spreadsheet tools.</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Enable advanced visual analytics through an interactive drag-and-drop interface.</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SQL integration, Python support, and cloud services.</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Used globally by analysts and enterprises for data storytelling and dashboard reporting.</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Not designed for automated SME survival prediction. Advanced capabilities require trained data analysts, limiting accessibility to SME owners with limited technical backgrounds (Tableau Software LLC, 2024).</w:t>
      </w:r>
    </w:p>
    <w:p>
      <w:pPr>
        <w:spacing w:before="200" w:after="80"/>
      </w:pPr>
      <w:r>
        <w:rPr>
          <w:rFonts w:ascii="Times New Roman" w:hAnsi="Times New Roman"/>
          <w:b/>
          <w:i w:val="0"/>
          <w:sz w:val="24"/>
        </w:rPr>
        <w:t>2.3.9 QuickBooks</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Poor financial record keeping, inconsistent invoicing, and manual accounting errors among small businesses.</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Simplify accounting and bookkeeping for small businesses.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Web-based accounting systems and relational databases.</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Used by millions of SMEs worldwide as a primary accounting tool.</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Focuses on historical record keeping rather than predictive analytics or survival forecasting. QuickBooks does not estimate closure risk or generate advisory reports (Intuit Inc., 2023).</w:t>
      </w:r>
    </w:p>
    <w:p>
      <w:pPr>
        <w:spacing w:before="200" w:after="80"/>
      </w:pPr>
      <w:r>
        <w:rPr>
          <w:rFonts w:ascii="Times New Roman" w:hAnsi="Times New Roman"/>
          <w:b/>
          <w:i w:val="0"/>
          <w:sz w:val="24"/>
        </w:rPr>
        <w:t>2.3.10 KoboToolbox</w:t>
      </w:r>
    </w:p>
    <w:p>
      <w:pPr>
        <w:spacing w:before="120" w:after="40"/>
      </w:pPr>
      <w:r>
        <w:rPr>
          <w:rFonts w:ascii="Times New Roman" w:hAnsi="Times New Roman"/>
          <w:b/>
          <w:i w:val="0"/>
          <w:sz w:val="24"/>
        </w:rPr>
        <w:t>Problems Solved</w:t>
      </w:r>
    </w:p>
    <w:p>
      <w:pPr>
        <w:spacing w:after="120"/>
        <w:ind w:firstLine="720"/>
        <w:jc w:val="both"/>
      </w:pPr>
      <w:r>
        <w:rPr>
          <w:rFonts w:ascii="Times New Roman" w:hAnsi="Times New Roman"/>
          <w:b w:val="0"/>
          <w:i w:val="0"/>
          <w:sz w:val="24"/>
        </w:rPr>
        <w:t>Data collection challenges in resource-constrained environments with poor internet connectivity and limited device capabilities.</w:t>
      </w:r>
    </w:p>
    <w:p>
      <w:pPr>
        <w:spacing w:before="120" w:after="40"/>
      </w:pPr>
      <w:r>
        <w:rPr>
          <w:rFonts w:ascii="Times New Roman" w:hAnsi="Times New Roman"/>
          <w:b/>
          <w:i w:val="0"/>
          <w:sz w:val="24"/>
        </w:rPr>
        <w:t>Objective</w:t>
      </w:r>
    </w:p>
    <w:p>
      <w:pPr>
        <w:spacing w:after="120"/>
        <w:ind w:firstLine="720"/>
        <w:jc w:val="both"/>
      </w:pPr>
      <w:r>
        <w:rPr>
          <w:rFonts w:ascii="Times New Roman" w:hAnsi="Times New Roman"/>
          <w:b w:val="0"/>
          <w:i w:val="0"/>
          <w:sz w:val="24"/>
        </w:rPr>
        <w:t>Enable structured mobile data collection and survey management for field researchers and organisations.</w:t>
      </w:r>
    </w:p>
    <w:p>
      <w:pPr>
        <w:spacing w:before="120" w:after="40"/>
      </w:pPr>
      <w:r>
        <w:rPr>
          <w:rFonts w:ascii="Times New Roman" w:hAnsi="Times New Roman"/>
          <w:b/>
          <w:i w:val="0"/>
          <w:sz w:val="24"/>
        </w:rPr>
        <w:t>Tools Used</w:t>
      </w:r>
    </w:p>
    <w:p>
      <w:pPr>
        <w:spacing w:after="120"/>
        <w:ind w:firstLine="720"/>
        <w:jc w:val="both"/>
      </w:pPr>
      <w:r>
        <w:rPr>
          <w:rFonts w:ascii="Times New Roman" w:hAnsi="Times New Roman"/>
          <w:b w:val="0"/>
          <w:i w:val="0"/>
          <w:sz w:val="24"/>
        </w:rPr>
        <w:t>Python, PostgreSQL, and mobile data collection tools with offline synchronisation support.</w:t>
      </w:r>
    </w:p>
    <w:p>
      <w:pPr>
        <w:spacing w:before="120" w:after="40"/>
      </w:pPr>
      <w:r>
        <w:rPr>
          <w:rFonts w:ascii="Times New Roman" w:hAnsi="Times New Roman"/>
          <w:b/>
          <w:i w:val="0"/>
          <w:sz w:val="24"/>
        </w:rPr>
        <w:t>Results Obtained</w:t>
      </w:r>
    </w:p>
    <w:p>
      <w:pPr>
        <w:spacing w:after="120"/>
        <w:ind w:firstLine="720"/>
        <w:jc w:val="both"/>
      </w:pPr>
      <w:r>
        <w:rPr>
          <w:rFonts w:ascii="Times New Roman" w:hAnsi="Times New Roman"/>
          <w:b w:val="0"/>
          <w:i w:val="0"/>
          <w:sz w:val="24"/>
        </w:rPr>
        <w:t>Widely used by NGOs, academic researchers, and humanitarian organisations across Africa.</w:t>
      </w:r>
    </w:p>
    <w:p>
      <w:pPr>
        <w:spacing w:before="120" w:after="40"/>
      </w:pPr>
      <w:r>
        <w:rPr>
          <w:rFonts w:ascii="Times New Roman" w:hAnsi="Times New Roman"/>
          <w:b/>
          <w:i w:val="0"/>
          <w:sz w:val="24"/>
        </w:rPr>
        <w:t>Relation to Proposed System</w:t>
      </w:r>
    </w:p>
    <w:p>
      <w:pPr>
        <w:spacing w:after="120"/>
        <w:ind w:firstLine="720"/>
        <w:jc w:val="both"/>
      </w:pPr>
      <w:r>
        <w:rPr>
          <w:rFonts w:ascii="Times New Roman" w:hAnsi="Times New Roman"/>
          <w:b w:val="0"/>
          <w:i w:val="0"/>
          <w:sz w:val="24"/>
        </w:rPr>
        <w:t>Useful for structured data gathering in low-connectivity environments but performs no predictive analytics. BizNess OS used KoboToolbox as the data collection instrument for the 27-response primary survey component of its training dataset (Kobo Inc., 2023).</w:t>
      </w:r>
    </w:p>
    <w:p>
      <w:pPr>
        <w:spacing w:before="280" w:after="120"/>
      </w:pPr>
      <w:r>
        <w:rPr>
          <w:rFonts w:ascii="Times New Roman" w:hAnsi="Times New Roman"/>
          <w:b/>
          <w:i w:val="0"/>
          <w:sz w:val="24"/>
        </w:rPr>
        <w:t>2.4 Comparison of Related Works</w:t>
      </w:r>
    </w:p>
    <w:p>
      <w:pPr>
        <w:spacing w:after="120"/>
        <w:ind w:firstLine="720"/>
        <w:jc w:val="both"/>
      </w:pPr>
      <w:r>
        <w:rPr>
          <w:rFonts w:ascii="Times New Roman" w:hAnsi="Times New Roman"/>
          <w:b w:val="0"/>
          <w:i w:val="0"/>
          <w:sz w:val="24"/>
        </w:rPr>
        <w:t>Table 2.1 compares the ten reviewed systems across six evaluation criteria: core features, SME focus, predictive analytics capability, African market localisation, level of automation, and open accessibility for entrepreneurs. The comparison makes the gap between existing platforms and the requirements of a Cameroonian SME analytics tool apparent.</w:t>
      </w:r>
    </w:p>
    <w:p>
      <w:pPr>
        <w:spacing w:before="240" w:after="60"/>
        <w:jc w:val="center"/>
      </w:pPr>
      <w:r>
        <w:rPr>
          <w:rFonts w:ascii="Times New Roman" w:hAnsi="Times New Roman"/>
          <w:b/>
          <w:i w:val="0"/>
          <w:sz w:val="22"/>
        </w:rPr>
        <w:t>Table 2.1: Comparison of Existing Systems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944"/>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System</w:t>
            </w:r>
          </w:p>
        </w:tc>
        <w:tc>
          <w:tcPr>
            <w:tcW w:type="dxa" w:w="1944"/>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Core Features</w:t>
            </w:r>
          </w:p>
        </w:tc>
        <w:tc>
          <w:tcPr>
            <w:tcW w:type="dxa" w:w="1584"/>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SME Focus</w:t>
            </w:r>
          </w:p>
        </w:tc>
        <w:tc>
          <w:tcPr>
            <w:tcW w:type="dxa" w:w="1541"/>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Predictive Analytics</w:t>
            </w:r>
          </w:p>
        </w:tc>
        <w:tc>
          <w:tcPr>
            <w:tcW w:type="dxa" w:w="1296"/>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African Localisation</w:t>
            </w:r>
          </w:p>
        </w:tc>
        <w:tc>
          <w:tcPr>
            <w:tcW w:type="dxa" w:w="72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Automation Level</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World Bank Enterprise Surveys</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 data collection</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Policy analysis</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High (data only)</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IFC SME Toolkit</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 guidance</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Education</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Crunchbase</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Startup analytics</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Global startups</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Limited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CB Insights</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Predictive intelligence</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Large enterprises</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Yes</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High</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SAP Business One</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ERP management</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Structured SMEs</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Oracle NetSuite</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Cloud ERP</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 firms</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Microsoft Power BI</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 visualisation</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General</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Tableau</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Visual analytics</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General</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QuickBooks</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Accounting</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SMEs</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Medium</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r>
      <w:tr>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KoboToolbox</w:t>
            </w:r>
          </w:p>
        </w:tc>
        <w:tc>
          <w:tcPr>
            <w:tcW w:type="dxa" w:w="194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 collection</w:t>
            </w:r>
          </w:p>
        </w:tc>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Research/NGOs</w:t>
            </w:r>
          </w:p>
        </w:tc>
        <w:tc>
          <w:tcPr>
            <w:tcW w:type="dxa" w:w="154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High</w:t>
            </w:r>
          </w:p>
        </w:tc>
        <w:tc>
          <w:tcPr>
            <w:tcW w:type="dxa" w:w="7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Low</w:t>
            </w:r>
          </w:p>
        </w:tc>
      </w:tr>
    </w:tbl>
    <w:p>
      <w:pPr>
        <w:spacing w:after="80"/>
      </w:pPr>
    </w:p>
    <w:p>
      <w:pPr>
        <w:spacing w:before="280" w:after="120"/>
      </w:pPr>
      <w:r>
        <w:rPr>
          <w:rFonts w:ascii="Times New Roman" w:hAnsi="Times New Roman"/>
          <w:b/>
          <w:i w:val="0"/>
          <w:sz w:val="24"/>
        </w:rPr>
        <w:t>2.5 Identification of Gaps</w:t>
      </w:r>
    </w:p>
    <w:p>
      <w:pPr>
        <w:spacing w:after="120"/>
        <w:ind w:firstLine="720"/>
        <w:jc w:val="both"/>
      </w:pPr>
      <w:r>
        <w:rPr>
          <w:rFonts w:ascii="Times New Roman" w:hAnsi="Times New Roman"/>
          <w:b w:val="0"/>
          <w:i w:val="0"/>
          <w:sz w:val="24"/>
        </w:rPr>
        <w:t>The review of ten existing systems reveals a consistent set of unaddressed needs in the SME analytics space, particularly for the Cameroonian context.</w:t>
      </w:r>
    </w:p>
    <w:p>
      <w:pPr>
        <w:spacing w:after="120"/>
        <w:ind w:firstLine="720"/>
        <w:jc w:val="both"/>
      </w:pPr>
      <w:r>
        <w:rPr>
          <w:rFonts w:ascii="Times New Roman" w:hAnsi="Times New Roman"/>
          <w:b w:val="0"/>
          <w:i w:val="0"/>
          <w:sz w:val="24"/>
        </w:rPr>
        <w:t>No reviewed platform combines survival probability prediction, time-to-failure estimation, and personalised advisory generation in a single accessible tool. CB Insights applies machine learning to business data, but its outputs target investors and large corporations rather than individual entrepreneurs. SAP Business One and Oracle NetSuite provide comprehensive operational management but make no attempt to predict closure risk or generate context-aware advisory reports.</w:t>
      </w:r>
    </w:p>
    <w:p>
      <w:pPr>
        <w:spacing w:after="120"/>
        <w:ind w:firstLine="720"/>
        <w:jc w:val="both"/>
      </w:pPr>
      <w:r>
        <w:rPr>
          <w:rFonts w:ascii="Times New Roman" w:hAnsi="Times New Roman"/>
          <w:b w:val="0"/>
          <w:i w:val="0"/>
          <w:sz w:val="24"/>
        </w:rPr>
        <w:t>Localisation is a systematic gap across the ten systems reviewed. Eight were designed for global or Western markets. None incorporates regional economic data specific to Cameroon, accounts for the CFA Franc context, or addresses the structural constraints documented by the World Bank Enterprise Survey and MINPMEESA statistics. IFC SME Toolkit and KoboToolbox show awareness of African development contexts but remain tools for education and data collection rather than prediction and advisory.</w:t>
      </w:r>
    </w:p>
    <w:p>
      <w:pPr>
        <w:spacing w:after="120"/>
        <w:ind w:firstLine="720"/>
        <w:jc w:val="both"/>
      </w:pPr>
      <w:r>
        <w:rPr>
          <w:rFonts w:ascii="Times New Roman" w:hAnsi="Times New Roman"/>
          <w:b w:val="0"/>
          <w:i w:val="0"/>
          <w:sz w:val="24"/>
        </w:rPr>
        <w:t>Accessibility is a second structural gap. Platforms offering advanced analytics, such as CB Insights and Tableau, are priced beyond the reach of informal entrepreneurs. SAP Business One and Oracle NetSuite require implementation specialists. QuickBooks, while accessible in cost, offers no predictive functionality.</w:t>
      </w:r>
    </w:p>
    <w:p>
      <w:pPr>
        <w:spacing w:after="120"/>
        <w:ind w:firstLine="720"/>
        <w:jc w:val="both"/>
      </w:pPr>
      <w:r>
        <w:rPr>
          <w:rFonts w:ascii="Times New Roman" w:hAnsi="Times New Roman"/>
          <w:b w:val="0"/>
          <w:i w:val="0"/>
          <w:sz w:val="24"/>
        </w:rPr>
        <w:t>Mobile-first design for low-resource environments is absent across all reviewed platforms. Entrepreneurs in Cameroonian cities such as Bamenda and Bafoussam primarily access digital services through mobile devices, yet no reviewed system offers a mobile-native analytics experience designed for this user profile.</w:t>
      </w:r>
    </w:p>
    <w:p>
      <w:pPr>
        <w:spacing w:after="120"/>
        <w:ind w:firstLine="720"/>
        <w:jc w:val="both"/>
      </w:pPr>
      <w:r>
        <w:rPr>
          <w:rFonts w:ascii="Times New Roman" w:hAnsi="Times New Roman"/>
          <w:b w:val="0"/>
          <w:i w:val="0"/>
          <w:sz w:val="24"/>
        </w:rPr>
        <w:t>These gaps define the requirements for BizNess OS: a platform locally calibrated to Cameroon's economic realities, predictive through machine learning and survival analysis, advisory through large language model integration, accessible via a mobile-first React Native interface, and free to use for entrepreneurs at the point of access.</w:t>
      </w:r>
    </w:p>
    <w:p>
      <w:pPr>
        <w:spacing w:before="280" w:after="120"/>
      </w:pPr>
      <w:r>
        <w:rPr>
          <w:rFonts w:ascii="Times New Roman" w:hAnsi="Times New Roman"/>
          <w:b/>
          <w:i w:val="0"/>
          <w:sz w:val="24"/>
        </w:rPr>
        <w:t>2.6 Chapter Summary</w:t>
      </w:r>
    </w:p>
    <w:p>
      <w:pPr>
        <w:spacing w:after="120"/>
        <w:ind w:firstLine="720"/>
        <w:jc w:val="both"/>
      </w:pPr>
      <w:r>
        <w:rPr>
          <w:rFonts w:ascii="Times New Roman" w:hAnsi="Times New Roman"/>
          <w:b w:val="0"/>
          <w:i w:val="0"/>
          <w:sz w:val="24"/>
        </w:rPr>
        <w:t>This chapter established the theoretical foundations of BizNess OS by reviewing machine learning for business failure prediction, survival analysis and the Cox Proportional Hazards model, gradient boosting ensemble methods using LightGBM and CatBoost, SHAP-based model explainability, and large language model inference through the Groq API. It then reviewed ten existing systems spanning SME data collection, enterprise resource planning, business intelligence, and predictive analytics. The comparative analysis showed that no existing platform combines survival prediction, time-to-failure estimation, personalised advisory generation, and localisation for the Cameroonian SME context in a single accessible tool. These gaps form the design rationale for BizNess OS and inform the system analysis, architectural decisions, and design choices presented in Chapter Three.</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