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80"/>
        <w:jc w:val="center"/>
      </w:pPr>
      <w:r>
        <w:rPr>
          <w:rFonts w:ascii="Times New Roman" w:hAnsi="Times New Roman"/>
          <w:b/>
          <w:i w:val="0"/>
          <w:sz w:val="28"/>
        </w:rPr>
        <w:t>CHAPTER THREE</w:t>
      </w:r>
    </w:p>
    <w:p>
      <w:pPr>
        <w:spacing w:before="120" w:after="80"/>
        <w:jc w:val="center"/>
      </w:pPr>
      <w:r>
        <w:rPr>
          <w:rFonts w:ascii="Times New Roman" w:hAnsi="Times New Roman"/>
          <w:b/>
          <w:i w:val="0"/>
          <w:sz w:val="28"/>
        </w:rPr>
        <w:t>SYSTEM ANALYSIS AND DESIGN</w:t>
      </w:r>
    </w:p>
    <w:p>
      <w:pPr>
        <w:spacing w:before="280" w:after="120"/>
      </w:pPr>
      <w:r>
        <w:rPr>
          <w:rFonts w:ascii="Times New Roman" w:hAnsi="Times New Roman"/>
          <w:b/>
          <w:i w:val="0"/>
          <w:sz w:val="24"/>
        </w:rPr>
        <w:t>3.1 Existing System Analysis</w:t>
      </w:r>
    </w:p>
    <w:p>
      <w:pPr>
        <w:spacing w:after="120"/>
        <w:ind w:firstLine="720"/>
        <w:jc w:val="both"/>
      </w:pPr>
      <w:r>
        <w:rPr>
          <w:rFonts w:ascii="Times New Roman" w:hAnsi="Times New Roman"/>
          <w:b w:val="0"/>
          <w:i w:val="0"/>
          <w:sz w:val="24"/>
        </w:rPr>
        <w:t>The ten existing systems reviewed in Chapter Two were evaluated not only for their features but for the specific design requirements their limitations expose. This section analyses those limitations from a system design perspective to define what a new platform must provide.</w:t>
      </w:r>
    </w:p>
    <w:p>
      <w:pPr>
        <w:spacing w:after="120"/>
        <w:ind w:firstLine="720"/>
        <w:jc w:val="both"/>
      </w:pPr>
      <w:r>
        <w:rPr>
          <w:rFonts w:ascii="Times New Roman" w:hAnsi="Times New Roman"/>
          <w:b w:val="0"/>
          <w:i w:val="0"/>
          <w:sz w:val="24"/>
        </w:rPr>
        <w:t>Enterprise resource planning systems such as SAP Business One and Oracle NetSuite offer comprehensive operational management, but their design assumes large IT budgets, dedicated implementation teams, and stable internet infrastructure. These assumptions do not hold for an SME owner in Bamenda or Bafoussam operating on a mobile data connection. The systems also produce no predictive output: they record what has happened, not what is likely to happen next.</w:t>
      </w:r>
    </w:p>
    <w:p>
      <w:pPr>
        <w:spacing w:after="120"/>
        <w:ind w:firstLine="720"/>
        <w:jc w:val="both"/>
      </w:pPr>
      <w:r>
        <w:rPr>
          <w:rFonts w:ascii="Times New Roman" w:hAnsi="Times New Roman"/>
          <w:b w:val="0"/>
          <w:i w:val="0"/>
          <w:sz w:val="24"/>
        </w:rPr>
        <w:t>Business intelligence platforms including Tableau and Microsoft Power BI require pre-processed data fed from external sources. Neither platform ships with business survival models, and neither is designed to accept raw entrepreneur input and return a survival probability within seconds. Analytics firms such as CB Insights demonstrate that machine learning can be applied to business data, but their interfaces and pricing are calibrated for institutional users, not individual entrepreneurs with limited technical backgrounds.</w:t>
      </w:r>
    </w:p>
    <w:p>
      <w:pPr>
        <w:spacing w:after="120"/>
        <w:ind w:firstLine="720"/>
        <w:jc w:val="both"/>
      </w:pPr>
      <w:r>
        <w:rPr>
          <w:rFonts w:ascii="Times New Roman" w:hAnsi="Times New Roman"/>
          <w:b w:val="0"/>
          <w:i w:val="0"/>
          <w:sz w:val="24"/>
        </w:rPr>
        <w:t>Data collection tools like KoboToolbox and the World Bank Enterprise Survey infrastructure handle structured data gathering but perform no inference. Financial management tools like QuickBooks record transactions but do not analyse closure risk. Educational platforms like the IFC SME Toolkit provide guidance but not personalised, data-driven recommendations.</w:t>
      </w:r>
    </w:p>
    <w:p>
      <w:pPr>
        <w:spacing w:after="120"/>
        <w:ind w:firstLine="720"/>
        <w:jc w:val="both"/>
      </w:pPr>
      <w:r>
        <w:rPr>
          <w:rFonts w:ascii="Times New Roman" w:hAnsi="Times New Roman"/>
          <w:b w:val="0"/>
          <w:i w:val="0"/>
          <w:sz w:val="24"/>
        </w:rPr>
        <w:t>The analysis confirms that no existing system provides the combination of: a locally calibrated survival prediction model, time-to-failure estimation, natural language advisory generation, mobile-first design, and free access for entrepreneurs. These five requirements define the minimum viable design for BizNess OS and inform the proposed system described in Section 3.2.</w:t>
      </w:r>
    </w:p>
    <w:p>
      <w:pPr>
        <w:spacing w:before="280" w:after="120"/>
      </w:pPr>
      <w:r>
        <w:rPr>
          <w:rFonts w:ascii="Times New Roman" w:hAnsi="Times New Roman"/>
          <w:b/>
          <w:i w:val="0"/>
          <w:sz w:val="24"/>
        </w:rPr>
        <w:t>3.2 Proposed System</w:t>
      </w:r>
    </w:p>
    <w:p>
      <w:pPr>
        <w:spacing w:after="120"/>
        <w:ind w:firstLine="720"/>
        <w:jc w:val="both"/>
      </w:pPr>
      <w:r>
        <w:rPr>
          <w:rFonts w:ascii="Times New Roman" w:hAnsi="Times New Roman"/>
          <w:b w:val="0"/>
          <w:i w:val="0"/>
          <w:sz w:val="24"/>
        </w:rPr>
        <w:t>BizNess OS is a data-driven smart SME analytics platform that applies machine learning and large language model technology to predict business survival, estimate time to failure, forecast growth, and generate personalised advisory reports for entrepreneurs in Cameroon. The platform is delivered through a React Native mobile application and a Next.js web dashboard, backed by a Python FastAPI REST API and a cloud-hosted PostgreSQL database managed through Supabase.</w:t>
      </w:r>
    </w:p>
    <w:p>
      <w:pPr>
        <w:spacing w:after="120"/>
        <w:ind w:firstLine="720"/>
        <w:jc w:val="both"/>
      </w:pPr>
      <w:r>
        <w:rPr>
          <w:rFonts w:ascii="Times New Roman" w:hAnsi="Times New Roman"/>
          <w:b w:val="0"/>
          <w:i w:val="0"/>
          <w:sz w:val="24"/>
        </w:rPr>
        <w:t>The platform is built as a multi-component system. The backend runs on Python 3.12 and FastAPI 0.115.0 (FastAPI, 2025). The mobile application uses React Native with Expo SDK 52.0.0 (React Native, 2026; Expo, 2026). The web interface runs on Next.js 14.2.0 (Next.js, 2026). The analytical core uses a LightGBM 4.3.0 and CatBoost 1.2.5 soft-voting ensemble for survival probability classification (Ke et al., 2017; Prokhorenkova et al., 2018), a Cox Proportional Hazards model built with lifelines 0.29.0 for time-to-failure estimation (Cox, 1972), and an XGBoost 2.0.3 regressor for profit projection (Chen &amp; Guestrin, 2016). A large language model accessed through the Groq inference API generates personalised advisory reports (Groq, 2025).</w:t>
      </w:r>
    </w:p>
    <w:p>
      <w:pPr>
        <w:spacing w:before="200" w:after="80"/>
      </w:pPr>
      <w:r>
        <w:rPr>
          <w:rFonts w:ascii="Times New Roman" w:hAnsi="Times New Roman"/>
          <w:b/>
          <w:i w:val="0"/>
          <w:sz w:val="24"/>
        </w:rPr>
        <w:t>3.2.1 System Modules</w:t>
      </w:r>
    </w:p>
    <w:p>
      <w:pPr>
        <w:spacing w:before="120" w:after="40"/>
      </w:pPr>
      <w:r>
        <w:rPr>
          <w:rFonts w:ascii="Times New Roman" w:hAnsi="Times New Roman"/>
          <w:b/>
          <w:i w:val="0"/>
          <w:sz w:val="24"/>
        </w:rPr>
        <w:t>Authentication and User Management Module</w:t>
      </w:r>
    </w:p>
    <w:p>
      <w:pPr>
        <w:spacing w:after="120"/>
        <w:ind w:firstLine="720"/>
        <w:jc w:val="both"/>
      </w:pPr>
      <w:r>
        <w:rPr>
          <w:rFonts w:ascii="Times New Roman" w:hAnsi="Times New Roman"/>
          <w:b w:val="0"/>
          <w:i w:val="0"/>
          <w:sz w:val="24"/>
        </w:rPr>
        <w:t>Handles entrepreneur registration, login, logout, password reset via email OTP, Google OAuth 2.0, magic link authentication, and session management using secure HTTP-only cookies and mobile JWT tokens.</w:t>
      </w:r>
    </w:p>
    <w:p>
      <w:pPr>
        <w:spacing w:before="120" w:after="40"/>
      </w:pPr>
      <w:r>
        <w:rPr>
          <w:rFonts w:ascii="Times New Roman" w:hAnsi="Times New Roman"/>
          <w:b/>
          <w:i w:val="0"/>
          <w:sz w:val="24"/>
        </w:rPr>
        <w:t>Business Registration Module</w:t>
      </w:r>
    </w:p>
    <w:p>
      <w:pPr>
        <w:spacing w:after="120"/>
        <w:ind w:firstLine="720"/>
        <w:jc w:val="both"/>
      </w:pPr>
      <w:r>
        <w:rPr>
          <w:rFonts w:ascii="Times New Roman" w:hAnsi="Times New Roman"/>
          <w:b w:val="0"/>
          <w:i w:val="0"/>
          <w:sz w:val="24"/>
        </w:rPr>
        <w:t>Allows authenticated entrepreneurs to register business details including business name, industry, sector, region, startup capital, number of employees, years of experience, and operational cost percentages.</w:t>
      </w:r>
    </w:p>
    <w:p>
      <w:pPr>
        <w:spacing w:before="120" w:after="40"/>
      </w:pPr>
      <w:r>
        <w:rPr>
          <w:rFonts w:ascii="Times New Roman" w:hAnsi="Times New Roman"/>
          <w:b/>
          <w:i w:val="0"/>
          <w:sz w:val="24"/>
        </w:rPr>
        <w:t>Machine Learning Prediction Module</w:t>
      </w:r>
    </w:p>
    <w:p>
      <w:pPr>
        <w:spacing w:after="120"/>
        <w:ind w:firstLine="720"/>
        <w:jc w:val="both"/>
      </w:pPr>
      <w:r>
        <w:rPr>
          <w:rFonts w:ascii="Times New Roman" w:hAnsi="Times New Roman"/>
          <w:b w:val="0"/>
          <w:i w:val="0"/>
          <w:sz w:val="24"/>
        </w:rPr>
        <w:t>The analytical core. On a prediction request, the backend fetches the business profile, constructs a feature vector with engineered features such as total overhead burden and capital per employee, and feeds this to the LightGBM and CatBoost ensemble (Ke et al., 2017; Prokhorenkova et al., 2018) and the Cox PH model (Cox, 1972). The ensemble returns a survival probability and risk level. The Cox PH model estimates time-to-failure in months. The XGBoost regressor (Chen &amp; Guestrin, 2016) returns a projected monthly profit in CFA Francs.</w:t>
      </w:r>
    </w:p>
    <w:p>
      <w:pPr>
        <w:spacing w:before="120" w:after="40"/>
      </w:pPr>
      <w:r>
        <w:rPr>
          <w:rFonts w:ascii="Times New Roman" w:hAnsi="Times New Roman"/>
          <w:b/>
          <w:i w:val="0"/>
          <w:sz w:val="24"/>
        </w:rPr>
        <w:t>LLM Advisory Report Module</w:t>
      </w:r>
    </w:p>
    <w:p>
      <w:pPr>
        <w:spacing w:after="120"/>
        <w:ind w:firstLine="720"/>
        <w:jc w:val="both"/>
      </w:pPr>
      <w:r>
        <w:rPr>
          <w:rFonts w:ascii="Times New Roman" w:hAnsi="Times New Roman"/>
          <w:b w:val="0"/>
          <w:i w:val="0"/>
          <w:sz w:val="24"/>
        </w:rPr>
        <w:t>Following machine learning inference, the backend submits business data and prediction results to the Groq API (Groq, 2025) using the llama-3.3-70b-versatile model. The report covers an executive summary, prediction explanation, Cameroon-specific tax breakdown, optimal business model recommendation, and actionable future steps. The report is stored in the database and can be downloaded as a formatted PDF.</w:t>
      </w:r>
    </w:p>
    <w:p>
      <w:pPr>
        <w:spacing w:before="120" w:after="40"/>
      </w:pPr>
      <w:r>
        <w:rPr>
          <w:rFonts w:ascii="Times New Roman" w:hAnsi="Times New Roman"/>
          <w:b/>
          <w:i w:val="0"/>
          <w:sz w:val="24"/>
        </w:rPr>
        <w:t>Dashboard and History Module</w:t>
      </w:r>
    </w:p>
    <w:p>
      <w:pPr>
        <w:spacing w:after="120"/>
        <w:ind w:firstLine="720"/>
        <w:jc w:val="both"/>
      </w:pPr>
      <w:r>
        <w:rPr>
          <w:rFonts w:ascii="Times New Roman" w:hAnsi="Times New Roman"/>
          <w:b w:val="0"/>
          <w:i w:val="0"/>
          <w:sz w:val="24"/>
        </w:rPr>
        <w:t>Provides entrepreneurs with a personal dashboard showing prediction history, survival scores, growth forecasts, and advisory reports.</w:t>
      </w:r>
    </w:p>
    <w:p>
      <w:pPr>
        <w:spacing w:before="120" w:after="40"/>
      </w:pPr>
      <w:r>
        <w:rPr>
          <w:rFonts w:ascii="Times New Roman" w:hAnsi="Times New Roman"/>
          <w:b/>
          <w:i w:val="0"/>
          <w:sz w:val="24"/>
        </w:rPr>
        <w:t>Notification and Communication Module</w:t>
      </w:r>
    </w:p>
    <w:p>
      <w:pPr>
        <w:spacing w:after="120"/>
        <w:ind w:firstLine="720"/>
        <w:jc w:val="both"/>
      </w:pPr>
      <w:r>
        <w:rPr>
          <w:rFonts w:ascii="Times New Roman" w:hAnsi="Times New Roman"/>
          <w:b w:val="0"/>
          <w:i w:val="0"/>
          <w:sz w:val="24"/>
        </w:rPr>
        <w:t>Sends email notifications via SendGrid and supports Expo push notifications on mobile devices (Expo, 2026). A newsletter subscription endpoint and a support ticket endpoint are also included.</w:t>
      </w:r>
    </w:p>
    <w:p>
      <w:pPr>
        <w:spacing w:before="200" w:after="80"/>
      </w:pPr>
      <w:r>
        <w:rPr>
          <w:rFonts w:ascii="Times New Roman" w:hAnsi="Times New Roman"/>
          <w:b/>
          <w:i w:val="0"/>
          <w:sz w:val="24"/>
        </w:rPr>
        <w:t>3.2.2 System Interfaces</w:t>
      </w:r>
    </w:p>
    <w:p>
      <w:pPr>
        <w:spacing w:after="120"/>
        <w:ind w:firstLine="720"/>
        <w:jc w:val="both"/>
      </w:pPr>
      <w:r>
        <w:rPr>
          <w:rFonts w:ascii="Times New Roman" w:hAnsi="Times New Roman"/>
          <w:b w:val="0"/>
          <w:i w:val="0"/>
          <w:sz w:val="24"/>
        </w:rPr>
        <w:t>The BizSense platform communicates with a number of external systems. The mobile application communicates with the FastAPI backend over HTTPS using RESTful API calls following the Representational State Transfer architectural style (Fielding, 2000). The web application communicates with the same backend via authenticated HTTP requests secured with session cookies. The FastAPI backend connects to the Supabase cloud platform (Supabase, 2026), which provides a hosted PostgreSQL 15 database. The Groq inference API (Groq, 2025) is accessed over HTTPS to generate advisory reports. Push notifications are delivered through the Expo Push Notification Service (Expo, 2026). Email notifications are sent through SendGrid. Google OAuth 2.0 is integrated as an alternative authentication provider. An Upstash Redis cache stores prediction results for up to 24 hours, reducing redundant model inference calls (Redis, 2025).</w:t>
      </w:r>
    </w:p>
    <w:p>
      <w:pPr>
        <w:spacing w:before="200" w:after="80"/>
      </w:pPr>
      <w:r>
        <w:rPr>
          <w:rFonts w:ascii="Times New Roman" w:hAnsi="Times New Roman"/>
          <w:b/>
          <w:i w:val="0"/>
          <w:sz w:val="24"/>
        </w:rPr>
        <w:t>3.2.3 Functional Requirements</w:t>
      </w:r>
    </w:p>
    <w:p>
      <w:pPr>
        <w:spacing w:before="240" w:after="60"/>
        <w:jc w:val="center"/>
      </w:pPr>
      <w:r>
        <w:rPr>
          <w:rFonts w:ascii="Times New Roman" w:hAnsi="Times New Roman"/>
          <w:b/>
          <w:i w:val="0"/>
          <w:sz w:val="22"/>
        </w:rPr>
        <w:t>Table 3.1: Functional Requirements</w:t>
      </w:r>
    </w:p>
    <w:tbl>
      <w:tblPr>
        <w:tblStyle w:val="TableGrid"/>
        <w:tblW w:type="auto" w:w="0"/>
        <w:tblLook w:firstColumn="1" w:firstRow="1" w:lastColumn="0" w:lastRow="0" w:noHBand="0" w:noVBand="1" w:val="04A0"/>
      </w:tblPr>
      <w:tblGrid>
        <w:gridCol w:w="4513"/>
        <w:gridCol w:w="4513"/>
      </w:tblGrid>
      <w:tr>
        <w:tc>
          <w:tcPr>
            <w:tcW w:type="dxa" w:w="1296"/>
            <w:tcBorders>
              <w:top w:val="single" w:sz="4" w:color="CCCCCC"/>
              <w:left w:val="single" w:sz="4" w:color="CCCCCC"/>
              <w:bottom w:val="single" w:sz="4" w:color="CCCCCC"/>
              <w:right w:val="single" w:sz="4" w:color="CCCCCC"/>
            </w:tcBorders>
            <w:shd w:val="clear" w:color="auto" w:fill="D5E8F0"/>
          </w:tcPr>
          <w:p>
            <w:pPr>
              <w:jc w:val="center"/>
            </w:pPr>
            <w:r>
              <w:rPr>
                <w:rFonts w:ascii="Times New Roman" w:hAnsi="Times New Roman"/>
                <w:b/>
                <w:i w:val="0"/>
                <w:sz w:val="20"/>
              </w:rPr>
              <w:t>Requirement ID</w:t>
            </w:r>
          </w:p>
        </w:tc>
        <w:tc>
          <w:tcPr>
            <w:tcW w:type="dxa" w:w="7733"/>
            <w:tcBorders>
              <w:top w:val="single" w:sz="4" w:color="CCCCCC"/>
              <w:left w:val="single" w:sz="4" w:color="CCCCCC"/>
              <w:bottom w:val="single" w:sz="4" w:color="CCCCCC"/>
              <w:right w:val="single" w:sz="4" w:color="CCCCCC"/>
            </w:tcBorders>
            <w:shd w:val="clear" w:color="auto" w:fill="D5E8F0"/>
          </w:tcPr>
          <w:p>
            <w:pPr>
              <w:jc w:val="center"/>
            </w:pPr>
            <w:r>
              <w:rPr>
                <w:rFonts w:ascii="Times New Roman" w:hAnsi="Times New Roman"/>
                <w:b/>
                <w:i w:val="0"/>
                <w:sz w:val="20"/>
              </w:rPr>
              <w:t>Requirement Description</w:t>
            </w:r>
          </w:p>
        </w:tc>
      </w:tr>
      <w:tr>
        <w:tc>
          <w:tcPr>
            <w:tcW w:type="dxa" w:w="1296"/>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FR1</w:t>
            </w:r>
          </w:p>
        </w:tc>
        <w:tc>
          <w:tcPr>
            <w:tcW w:type="dxa" w:w="7733"/>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The system shall allow entrepreneurs to register and authenticate using email and password or Google OAuth 2.0.</w:t>
            </w:r>
          </w:p>
        </w:tc>
      </w:tr>
      <w:tr>
        <w:tc>
          <w:tcPr>
            <w:tcW w:type="dxa" w:w="1296"/>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FR2</w:t>
            </w:r>
          </w:p>
        </w:tc>
        <w:tc>
          <w:tcPr>
            <w:tcW w:type="dxa" w:w="7733"/>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The system shall allow authenticated users to register a business profile including capital, sector, region, employees, experience, and cost data.</w:t>
            </w:r>
          </w:p>
        </w:tc>
      </w:tr>
      <w:tr>
        <w:tc>
          <w:tcPr>
            <w:tcW w:type="dxa" w:w="1296"/>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FR3</w:t>
            </w:r>
          </w:p>
        </w:tc>
        <w:tc>
          <w:tcPr>
            <w:tcW w:type="dxa" w:w="7733"/>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The system shall apply CatBoost classification (Prokhorenkova et al., 2018) to predict the probability of business survival beyond three years.</w:t>
            </w:r>
          </w:p>
        </w:tc>
      </w:tr>
      <w:tr>
        <w:tc>
          <w:tcPr>
            <w:tcW w:type="dxa" w:w="1296"/>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FR4</w:t>
            </w:r>
          </w:p>
        </w:tc>
        <w:tc>
          <w:tcPr>
            <w:tcW w:type="dxa" w:w="7733"/>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The system shall apply XGBoost regression (Chen &amp; Guestrin, 2016) to project estimated monthly profit in CFA Francs.</w:t>
            </w:r>
          </w:p>
        </w:tc>
      </w:tr>
      <w:tr>
        <w:tc>
          <w:tcPr>
            <w:tcW w:type="dxa" w:w="1296"/>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FR5</w:t>
            </w:r>
          </w:p>
        </w:tc>
        <w:tc>
          <w:tcPr>
            <w:tcW w:type="dxa" w:w="7733"/>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The system shall classify business risk level as Safe or High Risk based on a 60 percent survival probability threshold.</w:t>
            </w:r>
          </w:p>
        </w:tc>
      </w:tr>
      <w:tr>
        <w:tc>
          <w:tcPr>
            <w:tcW w:type="dxa" w:w="1296"/>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FR6</w:t>
            </w:r>
          </w:p>
        </w:tc>
        <w:tc>
          <w:tcPr>
            <w:tcW w:type="dxa" w:w="7733"/>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The system shall generate a personalised advisory report using a large language model via the Groq inference API (Groq, 2025).</w:t>
            </w:r>
          </w:p>
        </w:tc>
      </w:tr>
      <w:tr>
        <w:tc>
          <w:tcPr>
            <w:tcW w:type="dxa" w:w="1296"/>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FR7</w:t>
            </w:r>
          </w:p>
        </w:tc>
        <w:tc>
          <w:tcPr>
            <w:tcW w:type="dxa" w:w="7733"/>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The system shall allow entrepreneurs to upload a PDF business plan for automated feature extraction and prediction.</w:t>
            </w:r>
          </w:p>
        </w:tc>
      </w:tr>
      <w:tr>
        <w:tc>
          <w:tcPr>
            <w:tcW w:type="dxa" w:w="1296"/>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FR8</w:t>
            </w:r>
          </w:p>
        </w:tc>
        <w:tc>
          <w:tcPr>
            <w:tcW w:type="dxa" w:w="7733"/>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The system shall store all prediction results and advisory reports in the database and make them retrievable as history.</w:t>
            </w:r>
          </w:p>
        </w:tc>
      </w:tr>
      <w:tr>
        <w:tc>
          <w:tcPr>
            <w:tcW w:type="dxa" w:w="1296"/>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FR9</w:t>
            </w:r>
          </w:p>
        </w:tc>
        <w:tc>
          <w:tcPr>
            <w:tcW w:type="dxa" w:w="7733"/>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The system shall generate and deliver downloadable PDF advisory reports to entrepreneurs and investors.</w:t>
            </w:r>
          </w:p>
        </w:tc>
      </w:tr>
      <w:tr>
        <w:tc>
          <w:tcPr>
            <w:tcW w:type="dxa" w:w="1296"/>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FR10</w:t>
            </w:r>
          </w:p>
        </w:tc>
        <w:tc>
          <w:tcPr>
            <w:tcW w:type="dxa" w:w="7733"/>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The system shall send email and push notifications to users upon completion of a prediction.</w:t>
            </w:r>
          </w:p>
        </w:tc>
      </w:tr>
      <w:tr>
        <w:tc>
          <w:tcPr>
            <w:tcW w:type="dxa" w:w="1296"/>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FR11</w:t>
            </w:r>
          </w:p>
        </w:tc>
        <w:tc>
          <w:tcPr>
            <w:tcW w:type="dxa" w:w="7733"/>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The system shall enforce rate limiting on prediction endpoints to prevent misuse.</w:t>
            </w:r>
          </w:p>
        </w:tc>
      </w:tr>
      <w:tr>
        <w:tc>
          <w:tcPr>
            <w:tcW w:type="dxa" w:w="1296"/>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FR12</w:t>
            </w:r>
          </w:p>
        </w:tc>
        <w:tc>
          <w:tcPr>
            <w:tcW w:type="dxa" w:w="7733"/>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The system shall cache prediction results using Redis (2025) for 24 hours to improve response performance.</w:t>
            </w:r>
          </w:p>
        </w:tc>
      </w:tr>
      <w:tr>
        <w:tc>
          <w:tcPr>
            <w:tcW w:type="dxa" w:w="1296"/>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FR13</w:t>
            </w:r>
          </w:p>
        </w:tc>
        <w:tc>
          <w:tcPr>
            <w:tcW w:type="dxa" w:w="7733"/>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The system shall log all significant user actions in an audit trail for administrative accountability.</w:t>
            </w:r>
          </w:p>
        </w:tc>
      </w:tr>
    </w:tbl>
    <w:p>
      <w:pPr>
        <w:spacing w:after="80"/>
      </w:pPr>
    </w:p>
    <w:p>
      <w:pPr>
        <w:spacing w:before="200" w:after="80"/>
      </w:pPr>
      <w:r>
        <w:rPr>
          <w:rFonts w:ascii="Times New Roman" w:hAnsi="Times New Roman"/>
          <w:b/>
          <w:i w:val="0"/>
          <w:sz w:val="24"/>
        </w:rPr>
        <w:t>3.2.4 Non-Functional Requirements</w:t>
      </w:r>
    </w:p>
    <w:p>
      <w:pPr>
        <w:spacing w:before="240" w:after="60"/>
        <w:jc w:val="center"/>
      </w:pPr>
      <w:r>
        <w:rPr>
          <w:rFonts w:ascii="Times New Roman" w:hAnsi="Times New Roman"/>
          <w:b/>
          <w:i w:val="0"/>
          <w:sz w:val="22"/>
        </w:rPr>
        <w:t>Table 3.2: Non-Functional Requirements</w:t>
      </w:r>
    </w:p>
    <w:tbl>
      <w:tblPr>
        <w:tblStyle w:val="TableGrid"/>
        <w:tblW w:type="auto" w:w="0"/>
        <w:tblLook w:firstColumn="1" w:firstRow="1" w:lastColumn="0" w:lastRow="0" w:noHBand="0" w:noVBand="1" w:val="04A0"/>
      </w:tblPr>
      <w:tblGrid>
        <w:gridCol w:w="4513"/>
        <w:gridCol w:w="4513"/>
      </w:tblGrid>
      <w:tr>
        <w:tc>
          <w:tcPr>
            <w:tcW w:type="dxa" w:w="1584"/>
            <w:tcBorders>
              <w:top w:val="single" w:sz="4" w:color="CCCCCC"/>
              <w:left w:val="single" w:sz="4" w:color="CCCCCC"/>
              <w:bottom w:val="single" w:sz="4" w:color="CCCCCC"/>
              <w:right w:val="single" w:sz="4" w:color="CCCCCC"/>
            </w:tcBorders>
            <w:shd w:val="clear" w:color="auto" w:fill="D5E8F0"/>
          </w:tcPr>
          <w:p>
            <w:pPr>
              <w:jc w:val="center"/>
            </w:pPr>
            <w:r>
              <w:rPr>
                <w:rFonts w:ascii="Times New Roman" w:hAnsi="Times New Roman"/>
                <w:b/>
                <w:i w:val="0"/>
                <w:sz w:val="20"/>
              </w:rPr>
              <w:t>Category</w:t>
            </w:r>
          </w:p>
        </w:tc>
        <w:tc>
          <w:tcPr>
            <w:tcW w:type="dxa" w:w="7445"/>
            <w:tcBorders>
              <w:top w:val="single" w:sz="4" w:color="CCCCCC"/>
              <w:left w:val="single" w:sz="4" w:color="CCCCCC"/>
              <w:bottom w:val="single" w:sz="4" w:color="CCCCCC"/>
              <w:right w:val="single" w:sz="4" w:color="CCCCCC"/>
            </w:tcBorders>
            <w:shd w:val="clear" w:color="auto" w:fill="D5E8F0"/>
          </w:tcPr>
          <w:p>
            <w:pPr>
              <w:jc w:val="center"/>
            </w:pPr>
            <w:r>
              <w:rPr>
                <w:rFonts w:ascii="Times New Roman" w:hAnsi="Times New Roman"/>
                <w:b/>
                <w:i w:val="0"/>
                <w:sz w:val="20"/>
              </w:rPr>
              <w:t>Requirement</w:t>
            </w:r>
          </w:p>
        </w:tc>
      </w:tr>
      <w:tr>
        <w:tc>
          <w:tcPr>
            <w:tcW w:type="dxa" w:w="1584"/>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Performance</w:t>
            </w:r>
          </w:p>
        </w:tc>
        <w:tc>
          <w:tcPr>
            <w:tcW w:type="dxa" w:w="7445"/>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The system shall return cached prediction results in under one second. Uncached predictions shall complete within an acceptable response time.</w:t>
            </w:r>
          </w:p>
        </w:tc>
      </w:tr>
      <w:tr>
        <w:tc>
          <w:tcPr>
            <w:tcW w:type="dxa" w:w="1584"/>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Security</w:t>
            </w:r>
          </w:p>
        </w:tc>
        <w:tc>
          <w:tcPr>
            <w:tcW w:type="dxa" w:w="7445"/>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All API endpoints accessing user or business data shall require authenticated sessions. Passwords shall be hashed using bcrypt. File uploads shall be validated for MIME type and limited to 5 MB.</w:t>
            </w:r>
          </w:p>
        </w:tc>
      </w:tr>
      <w:tr>
        <w:tc>
          <w:tcPr>
            <w:tcW w:type="dxa" w:w="1584"/>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Scalability</w:t>
            </w:r>
          </w:p>
        </w:tc>
        <w:tc>
          <w:tcPr>
            <w:tcW w:type="dxa" w:w="7445"/>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The system shall be designed to support a growing base of SME users across Cameroon's six major economic cities.</w:t>
            </w:r>
          </w:p>
        </w:tc>
      </w:tr>
      <w:tr>
        <w:tc>
          <w:tcPr>
            <w:tcW w:type="dxa" w:w="1584"/>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Reliability</w:t>
            </w:r>
          </w:p>
        </w:tc>
        <w:tc>
          <w:tcPr>
            <w:tcW w:type="dxa" w:w="7445"/>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The system shall handle prediction failures gracefully without crashing, returning descriptive HTTP error responses to the client.</w:t>
            </w:r>
          </w:p>
        </w:tc>
      </w:tr>
      <w:tr>
        <w:tc>
          <w:tcPr>
            <w:tcW w:type="dxa" w:w="1584"/>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Usability</w:t>
            </w:r>
          </w:p>
        </w:tc>
        <w:tc>
          <w:tcPr>
            <w:tcW w:type="dxa" w:w="7445"/>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The mobile application shall provide a clear, accessible interface for entrepreneurs with varying levels of digital literacy (React Native, 2026).</w:t>
            </w:r>
          </w:p>
        </w:tc>
      </w:tr>
      <w:tr>
        <w:tc>
          <w:tcPr>
            <w:tcW w:type="dxa" w:w="1584"/>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Maintainability</w:t>
            </w:r>
          </w:p>
        </w:tc>
        <w:tc>
          <w:tcPr>
            <w:tcW w:type="dxa" w:w="7445"/>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The backend shall be modular, with each API domain separated into its own FastAPI router for independent maintenance (FastAPI, 2025).</w:t>
            </w:r>
          </w:p>
        </w:tc>
      </w:tr>
      <w:tr>
        <w:tc>
          <w:tcPr>
            <w:tcW w:type="dxa" w:w="1584"/>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Portability</w:t>
            </w:r>
          </w:p>
        </w:tc>
        <w:tc>
          <w:tcPr>
            <w:tcW w:type="dxa" w:w="7445"/>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The mobile application shall target both Android and iOS platforms through the Expo managed workflow (Expo, 2026).</w:t>
            </w:r>
          </w:p>
        </w:tc>
      </w:tr>
      <w:tr>
        <w:tc>
          <w:tcPr>
            <w:tcW w:type="dxa" w:w="1584"/>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Data Integrity</w:t>
            </w:r>
          </w:p>
        </w:tc>
        <w:tc>
          <w:tcPr>
            <w:tcW w:type="dxa" w:w="7445"/>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The system shall enforce ownership verification before allowing access to any business prediction data, preventing unauthorised cross-account access.</w:t>
            </w:r>
          </w:p>
        </w:tc>
      </w:tr>
    </w:tbl>
    <w:p>
      <w:pPr>
        <w:spacing w:after="80"/>
      </w:pPr>
    </w:p>
    <w:p>
      <w:pPr>
        <w:spacing w:before="280" w:after="120"/>
      </w:pPr>
      <w:r>
        <w:rPr>
          <w:rFonts w:ascii="Times New Roman" w:hAnsi="Times New Roman"/>
          <w:b/>
          <w:i w:val="0"/>
          <w:sz w:val="24"/>
        </w:rPr>
        <w:t>3.3 System Architecture</w:t>
      </w:r>
    </w:p>
    <w:p>
      <w:pPr>
        <w:spacing w:after="120"/>
        <w:ind w:firstLine="720"/>
        <w:jc w:val="both"/>
      </w:pPr>
      <w:r>
        <w:rPr>
          <w:rFonts w:ascii="Times New Roman" w:hAnsi="Times New Roman"/>
          <w:b w:val="0"/>
          <w:i w:val="0"/>
          <w:sz w:val="24"/>
        </w:rPr>
        <w:t>BizNess OS follows a three-tier client-server architecture (Fielding, 2000). The presentation tier has two client applications: the React Native mobile app targeting Android and iOS (React Native, 2026; Expo, 2026), and the Next.js web interface (Next.js, 2026). The application tier is a FastAPI backend (FastAPI, 2025) exposing a versioned RESTful API across two namespaces: /api/v1/ for core authentication and business operations, and /api/v2/ for advanced business profiles and ML-driven prediction endpoints. This tier manages authentication, business data, machine learning inference, LLM report generation, PDF processing, notifications, and audit logging. The data tier is a cloud-hosted PostgreSQL 15 database managed through Supabase (Supabase, 2026), supplemented by Upstash Redis for prediction result caching (Redis, 2025). The Groq API (Groq, 2025) and Google OAuth 2.0 are integrated at the application tier level.</w:t>
      </w:r>
    </w:p>
    <w:p>
      <w:pPr>
        <w:spacing w:after="120"/>
        <w:ind w:firstLine="720"/>
        <w:jc w:val="both"/>
      </w:pPr>
      <w:r>
        <w:rPr>
          <w:rFonts w:ascii="Times New Roman" w:hAnsi="Times New Roman"/>
          <w:b w:val="0"/>
          <w:i w:val="0"/>
          <w:sz w:val="24"/>
        </w:rPr>
        <w:t>Figure 3.1 below illustrates the three-tier architecture and the connections between each component.</w:t>
      </w:r>
    </w:p>
    <w:tbl>
      <w:tblPr>
        <w:tblW w:type="auto" w:w="0"/>
        <w:tblLook w:firstColumn="1" w:firstRow="1" w:lastColumn="0" w:lastRow="0" w:noHBand="0" w:noVBand="1" w:val="04A0"/>
      </w:tblPr>
      <w:tblGrid>
        <w:gridCol w:w="9026"/>
      </w:tblGrid>
      <w:tr>
        <w:tc>
          <w:tcPr>
            <w:tcW w:type="dxa" w:w="9026"/>
            <w:shd w:fill="EEEEEE" w:val="clear"/>
          </w:tcPr>
          <w:p>
            <w:pPr>
              <w:spacing w:before="440" w:after="440"/>
              <w:jc w:val="center"/>
            </w:pPr>
            <w:r>
              <w:rPr>
                <w:rFonts w:ascii="Times New Roman" w:hAnsi="Times New Roman"/>
                <w:i/>
                <w:color w:val="666666"/>
                <w:sz w:val="20"/>
              </w:rPr>
              <w:t>[ Insert Figure 3.1 here ]</w:t>
            </w:r>
          </w:p>
        </w:tc>
      </w:tr>
    </w:tbl>
    <w:p>
      <w:pPr>
        <w:spacing w:after="200"/>
        <w:jc w:val="center"/>
      </w:pPr>
      <w:r>
        <w:rPr>
          <w:rFonts w:ascii="Times New Roman" w:hAnsi="Times New Roman"/>
          <w:b w:val="0"/>
          <w:i/>
          <w:sz w:val="20"/>
        </w:rPr>
        <w:t>Figure 3.1: BizNess OS three-tier system architecture showing presentation tier, application tier, and data tier with all external service integrations</w:t>
      </w:r>
    </w:p>
    <w:p>
      <w:pPr>
        <w:spacing w:before="280" w:after="120"/>
      </w:pPr>
      <w:r>
        <w:rPr>
          <w:rFonts w:ascii="Times New Roman" w:hAnsi="Times New Roman"/>
          <w:b/>
          <w:i w:val="0"/>
          <w:sz w:val="24"/>
        </w:rPr>
        <w:t>3.4 Design Methodology</w:t>
      </w:r>
    </w:p>
    <w:p>
      <w:pPr>
        <w:spacing w:after="120"/>
        <w:ind w:firstLine="720"/>
        <w:jc w:val="both"/>
      </w:pPr>
      <w:r>
        <w:rPr>
          <w:rFonts w:ascii="Times New Roman" w:hAnsi="Times New Roman"/>
          <w:b w:val="0"/>
          <w:i w:val="0"/>
          <w:sz w:val="24"/>
        </w:rPr>
        <w:t>The Agile software development methodology was adopted for this project. Agile is an iterative and incremental approach that emphasises flexibility, collaboration, and continuous delivery of working software through short development cycles called sprints (Beck et al., 2001). Each sprint lasted approximately two weeks and produced a working increment covering backend API endpoints, machine learning model integration, mobile application screens, and web dashboard components.</w:t>
      </w:r>
    </w:p>
    <w:p>
      <w:pPr>
        <w:spacing w:after="120"/>
        <w:ind w:firstLine="720"/>
        <w:jc w:val="both"/>
      </w:pPr>
      <w:r>
        <w:rPr>
          <w:rFonts w:ascii="Times New Roman" w:hAnsi="Times New Roman"/>
          <w:b w:val="0"/>
          <w:i w:val="0"/>
          <w:sz w:val="24"/>
        </w:rPr>
        <w:t>Agile was chosen for several practical reasons. The project requirements shifted as development progressed, particularly in the machine learning feature engineering pipeline and in the integration of the large language model report generator. The multi-component nature of the platform also called for parallel development tracks across the backend, mobile app, and web app, which sprint planning made manageable. Testing within each sprint caught integration problems between the FastAPI backend, the Supabase database, and the frontend clients early, before they compounded.</w:t>
      </w:r>
    </w:p>
    <w:p>
      <w:pPr>
        <w:spacing w:after="120"/>
        <w:ind w:firstLine="720"/>
        <w:jc w:val="both"/>
      </w:pPr>
      <w:r>
        <w:rPr>
          <w:rFonts w:ascii="Times New Roman" w:hAnsi="Times New Roman"/>
          <w:b w:val="0"/>
          <w:i w:val="0"/>
          <w:sz w:val="24"/>
        </w:rPr>
        <w:t>The development process moved through six phases within the Agile framework. Phase 1 covered planning and defined system objectives, user stories, and sprint backlogs. Phase 2 covered design and produced the system architecture, database schema, and UML diagrams. Phase 3 covered development and implemented the backend API, trained the machine learning models, and built both frontend interfaces. Phase 4 covered testing and applied unit, integration, and system testing strategies. Phase 5 covered review and evaluated each sprint increment against the original objectives. Phase 6 covered deployment preparation and finalised environment configuration, rate limiting, caching, and security hardening.</w:t>
      </w:r>
    </w:p>
    <w:tbl>
      <w:tblPr>
        <w:tblW w:type="auto" w:w="0"/>
        <w:tblLook w:firstColumn="1" w:firstRow="1" w:lastColumn="0" w:lastRow="0" w:noHBand="0" w:noVBand="1" w:val="04A0"/>
      </w:tblPr>
      <w:tblGrid>
        <w:gridCol w:w="9026"/>
      </w:tblGrid>
      <w:tr>
        <w:tc>
          <w:tcPr>
            <w:tcW w:type="dxa" w:w="9026"/>
            <w:shd w:fill="EEEEEE" w:val="clear"/>
          </w:tcPr>
          <w:p>
            <w:pPr>
              <w:spacing w:before="440" w:after="440"/>
              <w:jc w:val="center"/>
            </w:pPr>
            <w:r>
              <w:rPr>
                <w:rFonts w:ascii="Times New Roman" w:hAnsi="Times New Roman"/>
                <w:i/>
                <w:color w:val="666666"/>
                <w:sz w:val="20"/>
              </w:rPr>
              <w:t>[ Insert Figure 3.2 here ]</w:t>
            </w:r>
          </w:p>
        </w:tc>
      </w:tr>
    </w:tbl>
    <w:p>
      <w:pPr>
        <w:spacing w:after="200"/>
        <w:jc w:val="center"/>
      </w:pPr>
      <w:r>
        <w:rPr>
          <w:rFonts w:ascii="Times New Roman" w:hAnsi="Times New Roman"/>
          <w:b w:val="0"/>
          <w:i/>
          <w:sz w:val="20"/>
        </w:rPr>
        <w:t>Figure 3.2: Agile methodology diagram showing the six iterative development phases applied in BizNess OS development</w:t>
      </w:r>
    </w:p>
    <w:p>
      <w:pPr>
        <w:spacing w:before="200" w:after="80"/>
      </w:pPr>
      <w:r>
        <w:rPr>
          <w:rFonts w:ascii="Times New Roman" w:hAnsi="Times New Roman"/>
          <w:b/>
          <w:i w:val="0"/>
          <w:sz w:val="24"/>
        </w:rPr>
        <w:t>3.4.1 Cost Evaluation</w:t>
      </w:r>
    </w:p>
    <w:p>
      <w:pPr>
        <w:spacing w:after="120"/>
        <w:ind w:firstLine="720"/>
        <w:jc w:val="both"/>
      </w:pPr>
      <w:r>
        <w:rPr>
          <w:rFonts w:ascii="Times New Roman" w:hAnsi="Times New Roman"/>
          <w:b w:val="0"/>
          <w:i w:val="0"/>
          <w:sz w:val="24"/>
        </w:rPr>
        <w:t>Table 3.3 presents the estimated cost of developing the BizNess OS platform, covering resources, subscriptions, and tools used throughout the development period.</w:t>
      </w:r>
    </w:p>
    <w:p>
      <w:pPr>
        <w:spacing w:before="240" w:after="60"/>
        <w:jc w:val="center"/>
      </w:pPr>
      <w:r>
        <w:rPr>
          <w:rFonts w:ascii="Times New Roman" w:hAnsi="Times New Roman"/>
          <w:b/>
          <w:i w:val="0"/>
          <w:sz w:val="22"/>
        </w:rPr>
        <w:t>Table 3.3: Cost Evaluation</w:t>
      </w:r>
    </w:p>
    <w:tbl>
      <w:tblPr>
        <w:tblStyle w:val="TableGrid"/>
        <w:tblW w:type="auto" w:w="0"/>
        <w:tblLook w:firstColumn="1" w:firstRow="1" w:lastColumn="0" w:lastRow="0" w:noHBand="0" w:noVBand="1" w:val="04A0"/>
      </w:tblPr>
      <w:tblGrid>
        <w:gridCol w:w="4513"/>
        <w:gridCol w:w="4513"/>
      </w:tblGrid>
      <w:tr>
        <w:tc>
          <w:tcPr>
            <w:tcW w:type="dxa" w:w="4320"/>
            <w:tcBorders>
              <w:top w:val="single" w:sz="4" w:color="CCCCCC"/>
              <w:left w:val="single" w:sz="4" w:color="CCCCCC"/>
              <w:bottom w:val="single" w:sz="4" w:color="CCCCCC"/>
              <w:right w:val="single" w:sz="4" w:color="CCCCCC"/>
            </w:tcBorders>
            <w:shd w:val="clear" w:color="auto" w:fill="D5E8F0"/>
          </w:tcPr>
          <w:p>
            <w:pPr>
              <w:jc w:val="center"/>
            </w:pPr>
            <w:r>
              <w:rPr>
                <w:rFonts w:ascii="Times New Roman" w:hAnsi="Times New Roman"/>
                <w:b/>
                <w:i w:val="0"/>
                <w:sz w:val="20"/>
              </w:rPr>
              <w:t>Item</w:t>
            </w:r>
          </w:p>
        </w:tc>
        <w:tc>
          <w:tcPr>
            <w:tcW w:type="dxa" w:w="4709"/>
            <w:tcBorders>
              <w:top w:val="single" w:sz="4" w:color="CCCCCC"/>
              <w:left w:val="single" w:sz="4" w:color="CCCCCC"/>
              <w:bottom w:val="single" w:sz="4" w:color="CCCCCC"/>
              <w:right w:val="single" w:sz="4" w:color="CCCCCC"/>
            </w:tcBorders>
            <w:shd w:val="clear" w:color="auto" w:fill="D5E8F0"/>
          </w:tcPr>
          <w:p>
            <w:pPr>
              <w:jc w:val="center"/>
            </w:pPr>
            <w:r>
              <w:rPr>
                <w:rFonts w:ascii="Times New Roman" w:hAnsi="Times New Roman"/>
                <w:b/>
                <w:i w:val="0"/>
                <w:sz w:val="20"/>
              </w:rPr>
              <w:t>Estimated Cost (CFA Francs)</w:t>
            </w:r>
          </w:p>
        </w:tc>
      </w:tr>
      <w:tr>
        <w:tc>
          <w:tcPr>
            <w:tcW w:type="dxa" w:w="432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Supabase Cloud Database (Free Tier)</w:t>
            </w:r>
          </w:p>
        </w:tc>
        <w:tc>
          <w:tcPr>
            <w:tcW w:type="dxa" w:w="4709"/>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0</w:t>
            </w:r>
          </w:p>
        </w:tc>
      </w:tr>
      <w:tr>
        <w:tc>
          <w:tcPr>
            <w:tcW w:type="dxa" w:w="432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Groq API Access (Free Tier)</w:t>
            </w:r>
          </w:p>
        </w:tc>
        <w:tc>
          <w:tcPr>
            <w:tcW w:type="dxa" w:w="4709"/>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0</w:t>
            </w:r>
          </w:p>
        </w:tc>
      </w:tr>
      <w:tr>
        <w:tc>
          <w:tcPr>
            <w:tcW w:type="dxa" w:w="432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Expo Application Services (Development Build)</w:t>
            </w:r>
          </w:p>
        </w:tc>
        <w:tc>
          <w:tcPr>
            <w:tcW w:type="dxa" w:w="4709"/>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0</w:t>
            </w:r>
          </w:p>
        </w:tc>
      </w:tr>
      <w:tr>
        <w:tc>
          <w:tcPr>
            <w:tcW w:type="dxa" w:w="432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Internet Connectivity (Development Period)</w:t>
            </w:r>
          </w:p>
        </w:tc>
        <w:tc>
          <w:tcPr>
            <w:tcW w:type="dxa" w:w="4709"/>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70,000</w:t>
            </w:r>
          </w:p>
        </w:tc>
      </w:tr>
      <w:tr>
        <w:tc>
          <w:tcPr>
            <w:tcW w:type="dxa" w:w="432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Development Workstation Usage</w:t>
            </w:r>
          </w:p>
        </w:tc>
        <w:tc>
          <w:tcPr>
            <w:tcW w:type="dxa" w:w="4709"/>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0 (personal hardware)</w:t>
            </w:r>
          </w:p>
        </w:tc>
      </w:tr>
      <w:tr>
        <w:tc>
          <w:tcPr>
            <w:tcW w:type="dxa" w:w="432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Dataset Acquisition and Preparation</w:t>
            </w:r>
          </w:p>
        </w:tc>
        <w:tc>
          <w:tcPr>
            <w:tcW w:type="dxa" w:w="4709"/>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0 (self-generated)</w:t>
            </w:r>
          </w:p>
        </w:tc>
      </w:tr>
      <w:tr>
        <w:tc>
          <w:tcPr>
            <w:tcW w:type="dxa" w:w="432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Hosting and Deployment (Initial Phase)</w:t>
            </w:r>
          </w:p>
        </w:tc>
        <w:tc>
          <w:tcPr>
            <w:tcW w:type="dxa" w:w="4709"/>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30,000</w:t>
            </w:r>
          </w:p>
        </w:tc>
      </w:tr>
      <w:tr>
        <w:tc>
          <w:tcPr>
            <w:tcW w:type="dxa" w:w="432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Total Estimated Cost</w:t>
            </w:r>
          </w:p>
        </w:tc>
        <w:tc>
          <w:tcPr>
            <w:tcW w:type="dxa" w:w="4709"/>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100,000</w:t>
            </w:r>
          </w:p>
        </w:tc>
      </w:tr>
    </w:tbl>
    <w:p>
      <w:pPr>
        <w:spacing w:after="80"/>
      </w:pPr>
    </w:p>
    <w:p>
      <w:pPr>
        <w:spacing w:before="200" w:after="80"/>
      </w:pPr>
      <w:r>
        <w:rPr>
          <w:rFonts w:ascii="Times New Roman" w:hAnsi="Times New Roman"/>
          <w:b/>
          <w:i w:val="0"/>
          <w:sz w:val="24"/>
        </w:rPr>
        <w:t>3.4.2 Project Schedule</w:t>
      </w:r>
    </w:p>
    <w:p>
      <w:pPr>
        <w:spacing w:before="240" w:after="60"/>
        <w:jc w:val="center"/>
      </w:pPr>
      <w:r>
        <w:rPr>
          <w:rFonts w:ascii="Times New Roman" w:hAnsi="Times New Roman"/>
          <w:b/>
          <w:i w:val="0"/>
          <w:sz w:val="22"/>
        </w:rPr>
        <w:t>Table 3.4: Project Schedule</w:t>
      </w:r>
    </w:p>
    <w:tbl>
      <w:tblPr>
        <w:tblStyle w:val="TableGrid"/>
        <w:tblW w:type="auto" w:w="0"/>
        <w:tblLook w:firstColumn="1" w:firstRow="1" w:lastColumn="0" w:lastRow="0" w:noHBand="0" w:noVBand="1" w:val="04A0"/>
      </w:tblPr>
      <w:tblGrid>
        <w:gridCol w:w="3009"/>
        <w:gridCol w:w="3009"/>
        <w:gridCol w:w="3009"/>
      </w:tblGrid>
      <w:tr>
        <w:tc>
          <w:tcPr>
            <w:tcW w:type="dxa" w:w="1152"/>
            <w:tcBorders>
              <w:top w:val="single" w:sz="4" w:color="CCCCCC"/>
              <w:left w:val="single" w:sz="4" w:color="CCCCCC"/>
              <w:bottom w:val="single" w:sz="4" w:color="CCCCCC"/>
              <w:right w:val="single" w:sz="4" w:color="CCCCCC"/>
            </w:tcBorders>
            <w:shd w:val="clear" w:color="auto" w:fill="D5E8F0"/>
          </w:tcPr>
          <w:p>
            <w:pPr>
              <w:jc w:val="center"/>
            </w:pPr>
            <w:r>
              <w:rPr>
                <w:rFonts w:ascii="Times New Roman" w:hAnsi="Times New Roman"/>
                <w:b/>
                <w:i w:val="0"/>
                <w:sz w:val="20"/>
              </w:rPr>
              <w:t>Phase</w:t>
            </w:r>
          </w:p>
        </w:tc>
        <w:tc>
          <w:tcPr>
            <w:tcW w:type="dxa" w:w="5472"/>
            <w:tcBorders>
              <w:top w:val="single" w:sz="4" w:color="CCCCCC"/>
              <w:left w:val="single" w:sz="4" w:color="CCCCCC"/>
              <w:bottom w:val="single" w:sz="4" w:color="CCCCCC"/>
              <w:right w:val="single" w:sz="4" w:color="CCCCCC"/>
            </w:tcBorders>
            <w:shd w:val="clear" w:color="auto" w:fill="D5E8F0"/>
          </w:tcPr>
          <w:p>
            <w:pPr>
              <w:jc w:val="center"/>
            </w:pPr>
            <w:r>
              <w:rPr>
                <w:rFonts w:ascii="Times New Roman" w:hAnsi="Times New Roman"/>
                <w:b/>
                <w:i w:val="0"/>
                <w:sz w:val="20"/>
              </w:rPr>
              <w:t>Activity</w:t>
            </w:r>
          </w:p>
        </w:tc>
        <w:tc>
          <w:tcPr>
            <w:tcW w:type="dxa" w:w="2405"/>
            <w:tcBorders>
              <w:top w:val="single" w:sz="4" w:color="CCCCCC"/>
              <w:left w:val="single" w:sz="4" w:color="CCCCCC"/>
              <w:bottom w:val="single" w:sz="4" w:color="CCCCCC"/>
              <w:right w:val="single" w:sz="4" w:color="CCCCCC"/>
            </w:tcBorders>
            <w:shd w:val="clear" w:color="auto" w:fill="D5E8F0"/>
          </w:tcPr>
          <w:p>
            <w:pPr>
              <w:jc w:val="center"/>
            </w:pPr>
            <w:r>
              <w:rPr>
                <w:rFonts w:ascii="Times New Roman" w:hAnsi="Times New Roman"/>
                <w:b/>
                <w:i w:val="0"/>
                <w:sz w:val="20"/>
              </w:rPr>
              <w:t>Duration</w:t>
            </w:r>
          </w:p>
        </w:tc>
      </w:tr>
      <w:tr>
        <w:tc>
          <w:tcPr>
            <w:tcW w:type="dxa" w:w="1152"/>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Phase 1</w:t>
            </w:r>
          </w:p>
        </w:tc>
        <w:tc>
          <w:tcPr>
            <w:tcW w:type="dxa" w:w="5472"/>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Requirements Analysis and System Design</w:t>
            </w:r>
          </w:p>
        </w:tc>
        <w:tc>
          <w:tcPr>
            <w:tcW w:type="dxa" w:w="2405"/>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2 weeks</w:t>
            </w:r>
          </w:p>
        </w:tc>
      </w:tr>
      <w:tr>
        <w:tc>
          <w:tcPr>
            <w:tcW w:type="dxa" w:w="1152"/>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Phase 2</w:t>
            </w:r>
          </w:p>
        </w:tc>
        <w:tc>
          <w:tcPr>
            <w:tcW w:type="dxa" w:w="5472"/>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Dataset Collection and Preprocessing</w:t>
            </w:r>
          </w:p>
        </w:tc>
        <w:tc>
          <w:tcPr>
            <w:tcW w:type="dxa" w:w="2405"/>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2 weeks</w:t>
            </w:r>
          </w:p>
        </w:tc>
      </w:tr>
      <w:tr>
        <w:tc>
          <w:tcPr>
            <w:tcW w:type="dxa" w:w="1152"/>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Phase 3</w:t>
            </w:r>
          </w:p>
        </w:tc>
        <w:tc>
          <w:tcPr>
            <w:tcW w:type="dxa" w:w="5472"/>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Machine Learning Model Training and Evaluation</w:t>
            </w:r>
          </w:p>
        </w:tc>
        <w:tc>
          <w:tcPr>
            <w:tcW w:type="dxa" w:w="2405"/>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3 weeks</w:t>
            </w:r>
          </w:p>
        </w:tc>
      </w:tr>
      <w:tr>
        <w:tc>
          <w:tcPr>
            <w:tcW w:type="dxa" w:w="1152"/>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Phase 4</w:t>
            </w:r>
          </w:p>
        </w:tc>
        <w:tc>
          <w:tcPr>
            <w:tcW w:type="dxa" w:w="5472"/>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Backend API Development (FastAPI, 2025)</w:t>
            </w:r>
          </w:p>
        </w:tc>
        <w:tc>
          <w:tcPr>
            <w:tcW w:type="dxa" w:w="2405"/>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4 weeks</w:t>
            </w:r>
          </w:p>
        </w:tc>
      </w:tr>
      <w:tr>
        <w:tc>
          <w:tcPr>
            <w:tcW w:type="dxa" w:w="1152"/>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Phase 5</w:t>
            </w:r>
          </w:p>
        </w:tc>
        <w:tc>
          <w:tcPr>
            <w:tcW w:type="dxa" w:w="5472"/>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Mobile Application Development (React Native, 2026; Expo, 2026)</w:t>
            </w:r>
          </w:p>
        </w:tc>
        <w:tc>
          <w:tcPr>
            <w:tcW w:type="dxa" w:w="2405"/>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4 weeks</w:t>
            </w:r>
          </w:p>
        </w:tc>
      </w:tr>
      <w:tr>
        <w:tc>
          <w:tcPr>
            <w:tcW w:type="dxa" w:w="1152"/>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Phase 6</w:t>
            </w:r>
          </w:p>
        </w:tc>
        <w:tc>
          <w:tcPr>
            <w:tcW w:type="dxa" w:w="5472"/>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Web Application Development (Next.js, 2026)</w:t>
            </w:r>
          </w:p>
        </w:tc>
        <w:tc>
          <w:tcPr>
            <w:tcW w:type="dxa" w:w="2405"/>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3 weeks</w:t>
            </w:r>
          </w:p>
        </w:tc>
      </w:tr>
      <w:tr>
        <w:tc>
          <w:tcPr>
            <w:tcW w:type="dxa" w:w="1152"/>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Phase 7</w:t>
            </w:r>
          </w:p>
        </w:tc>
        <w:tc>
          <w:tcPr>
            <w:tcW w:type="dxa" w:w="5472"/>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Integration, Testing, and Bug Fixing</w:t>
            </w:r>
          </w:p>
        </w:tc>
        <w:tc>
          <w:tcPr>
            <w:tcW w:type="dxa" w:w="2405"/>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2 weeks</w:t>
            </w:r>
          </w:p>
        </w:tc>
      </w:tr>
      <w:tr>
        <w:tc>
          <w:tcPr>
            <w:tcW w:type="dxa" w:w="1152"/>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Phase 8</w:t>
            </w:r>
          </w:p>
        </w:tc>
        <w:tc>
          <w:tcPr>
            <w:tcW w:type="dxa" w:w="5472"/>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Documentation and Report Writing</w:t>
            </w:r>
          </w:p>
        </w:tc>
        <w:tc>
          <w:tcPr>
            <w:tcW w:type="dxa" w:w="2405"/>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2 weeks</w:t>
            </w:r>
          </w:p>
        </w:tc>
      </w:tr>
      <w:tr>
        <w:tc>
          <w:tcPr>
            <w:tcW w:type="dxa" w:w="1152"/>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Total</w:t>
            </w:r>
          </w:p>
        </w:tc>
        <w:tc>
          <w:tcPr>
            <w:tcW w:type="dxa" w:w="5472"/>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r>
          </w:p>
        </w:tc>
        <w:tc>
          <w:tcPr>
            <w:tcW w:type="dxa" w:w="2405"/>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22 weeks</w:t>
            </w:r>
          </w:p>
        </w:tc>
      </w:tr>
    </w:tbl>
    <w:p>
      <w:pPr>
        <w:spacing w:after="80"/>
      </w:pPr>
    </w:p>
    <w:p>
      <w:pPr>
        <w:spacing w:before="280" w:after="120"/>
      </w:pPr>
      <w:r>
        <w:rPr>
          <w:rFonts w:ascii="Times New Roman" w:hAnsi="Times New Roman"/>
          <w:b/>
          <w:i w:val="0"/>
          <w:sz w:val="24"/>
        </w:rPr>
        <w:t>3.5 Tools and Technologies</w:t>
      </w:r>
    </w:p>
    <w:p>
      <w:pPr>
        <w:spacing w:before="200" w:after="80"/>
      </w:pPr>
      <w:r>
        <w:rPr>
          <w:rFonts w:ascii="Times New Roman" w:hAnsi="Times New Roman"/>
          <w:b/>
          <w:i w:val="0"/>
          <w:sz w:val="24"/>
        </w:rPr>
        <w:t>3.5.1 Hardware Requirements</w:t>
      </w:r>
    </w:p>
    <w:p>
      <w:pPr>
        <w:spacing w:after="120"/>
        <w:ind w:firstLine="720"/>
        <w:jc w:val="both"/>
      </w:pPr>
      <w:r>
        <w:rPr>
          <w:rFonts w:ascii="Times New Roman" w:hAnsi="Times New Roman"/>
          <w:b w:val="0"/>
          <w:i w:val="0"/>
          <w:sz w:val="24"/>
        </w:rPr>
        <w:t>Table 3.5 lists the hardware used for development and testing of the BizNess OS platform.</w:t>
      </w:r>
    </w:p>
    <w:p>
      <w:pPr>
        <w:spacing w:before="240" w:after="60"/>
        <w:jc w:val="center"/>
      </w:pPr>
      <w:r>
        <w:rPr>
          <w:rFonts w:ascii="Times New Roman" w:hAnsi="Times New Roman"/>
          <w:b/>
          <w:i w:val="0"/>
          <w:sz w:val="22"/>
        </w:rPr>
        <w:t>Table 3.5: Hardware Requirements</w:t>
      </w:r>
    </w:p>
    <w:tbl>
      <w:tblPr>
        <w:tblStyle w:val="TableGrid"/>
        <w:tblW w:type="auto" w:w="0"/>
        <w:tblLook w:firstColumn="1" w:firstRow="1" w:lastColumn="0" w:lastRow="0" w:noHBand="0" w:noVBand="1" w:val="04A0"/>
      </w:tblPr>
      <w:tblGrid>
        <w:gridCol w:w="4513"/>
        <w:gridCol w:w="4513"/>
      </w:tblGrid>
      <w:tr>
        <w:tc>
          <w:tcPr>
            <w:tcW w:type="dxa" w:w="3600"/>
            <w:tcBorders>
              <w:top w:val="single" w:sz="4" w:color="CCCCCC"/>
              <w:left w:val="single" w:sz="4" w:color="CCCCCC"/>
              <w:bottom w:val="single" w:sz="4" w:color="CCCCCC"/>
              <w:right w:val="single" w:sz="4" w:color="CCCCCC"/>
            </w:tcBorders>
            <w:shd w:val="clear" w:color="auto" w:fill="D5E8F0"/>
          </w:tcPr>
          <w:p>
            <w:pPr>
              <w:jc w:val="center"/>
            </w:pPr>
            <w:r>
              <w:rPr>
                <w:rFonts w:ascii="Times New Roman" w:hAnsi="Times New Roman"/>
                <w:b/>
                <w:i w:val="0"/>
                <w:sz w:val="20"/>
              </w:rPr>
              <w:t>Component</w:t>
            </w:r>
          </w:p>
        </w:tc>
        <w:tc>
          <w:tcPr>
            <w:tcW w:type="dxa" w:w="5429"/>
            <w:tcBorders>
              <w:top w:val="single" w:sz="4" w:color="CCCCCC"/>
              <w:left w:val="single" w:sz="4" w:color="CCCCCC"/>
              <w:bottom w:val="single" w:sz="4" w:color="CCCCCC"/>
              <w:right w:val="single" w:sz="4" w:color="CCCCCC"/>
            </w:tcBorders>
            <w:shd w:val="clear" w:color="auto" w:fill="D5E8F0"/>
          </w:tcPr>
          <w:p>
            <w:pPr>
              <w:jc w:val="center"/>
            </w:pPr>
            <w:r>
              <w:rPr>
                <w:rFonts w:ascii="Times New Roman" w:hAnsi="Times New Roman"/>
                <w:b/>
                <w:i w:val="0"/>
                <w:sz w:val="20"/>
              </w:rPr>
              <w:t>Specification</w:t>
            </w:r>
          </w:p>
        </w:tc>
      </w:tr>
      <w:tr>
        <w:tc>
          <w:tcPr>
            <w:tcW w:type="dxa" w:w="360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Development Workstation OS</w:t>
            </w:r>
          </w:p>
        </w:tc>
        <w:tc>
          <w:tcPr>
            <w:tcW w:type="dxa" w:w="5429"/>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Windows 11</w:t>
            </w:r>
          </w:p>
        </w:tc>
      </w:tr>
      <w:tr>
        <w:tc>
          <w:tcPr>
            <w:tcW w:type="dxa" w:w="360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Processor</w:t>
            </w:r>
          </w:p>
        </w:tc>
        <w:tc>
          <w:tcPr>
            <w:tcW w:type="dxa" w:w="5429"/>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Intel Core i5 or equivalent or higher</w:t>
            </w:r>
          </w:p>
        </w:tc>
      </w:tr>
      <w:tr>
        <w:tc>
          <w:tcPr>
            <w:tcW w:type="dxa" w:w="360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RAM</w:t>
            </w:r>
          </w:p>
        </w:tc>
        <w:tc>
          <w:tcPr>
            <w:tcW w:type="dxa" w:w="5429"/>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8 GB minimum</w:t>
            </w:r>
          </w:p>
        </w:tc>
      </w:tr>
      <w:tr>
        <w:tc>
          <w:tcPr>
            <w:tcW w:type="dxa" w:w="360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Storage</w:t>
            </w:r>
          </w:p>
        </w:tc>
        <w:tc>
          <w:tcPr>
            <w:tcW w:type="dxa" w:w="5429"/>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256 GB SSD minimum</w:t>
            </w:r>
          </w:p>
        </w:tc>
      </w:tr>
      <w:tr>
        <w:tc>
          <w:tcPr>
            <w:tcW w:type="dxa" w:w="360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Mobile Test Device (Android)</w:t>
            </w:r>
          </w:p>
        </w:tc>
        <w:tc>
          <w:tcPr>
            <w:tcW w:type="dxa" w:w="5429"/>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Android 10 or higher</w:t>
            </w:r>
          </w:p>
        </w:tc>
      </w:tr>
      <w:tr>
        <w:tc>
          <w:tcPr>
            <w:tcW w:type="dxa" w:w="360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Mobile Test Device (iOS)</w:t>
            </w:r>
          </w:p>
        </w:tc>
        <w:tc>
          <w:tcPr>
            <w:tcW w:type="dxa" w:w="5429"/>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iOS 14 or higher</w:t>
            </w:r>
          </w:p>
        </w:tc>
      </w:tr>
      <w:tr>
        <w:tc>
          <w:tcPr>
            <w:tcW w:type="dxa" w:w="360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Internet Connection</w:t>
            </w:r>
          </w:p>
        </w:tc>
        <w:tc>
          <w:tcPr>
            <w:tcW w:type="dxa" w:w="5429"/>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Broadband (required for Supabase, Groq API, and Expo services)</w:t>
            </w:r>
          </w:p>
        </w:tc>
      </w:tr>
    </w:tbl>
    <w:p>
      <w:pPr>
        <w:spacing w:after="80"/>
      </w:pPr>
    </w:p>
    <w:p>
      <w:pPr>
        <w:spacing w:before="200" w:after="80"/>
      </w:pPr>
      <w:r>
        <w:rPr>
          <w:rFonts w:ascii="Times New Roman" w:hAnsi="Times New Roman"/>
          <w:b/>
          <w:i w:val="0"/>
          <w:sz w:val="24"/>
        </w:rPr>
        <w:t>3.5.2 Software Requirements</w:t>
      </w:r>
    </w:p>
    <w:p>
      <w:pPr>
        <w:spacing w:after="120"/>
        <w:ind w:firstLine="720"/>
        <w:jc w:val="both"/>
      </w:pPr>
      <w:r>
        <w:rPr>
          <w:rFonts w:ascii="Times New Roman" w:hAnsi="Times New Roman"/>
          <w:b w:val="0"/>
          <w:i w:val="0"/>
          <w:sz w:val="24"/>
        </w:rPr>
        <w:t>Table 3.6 lists the software frameworks, libraries, and tools used across all system components.</w:t>
      </w:r>
    </w:p>
    <w:p>
      <w:pPr>
        <w:spacing w:before="240" w:after="60"/>
        <w:jc w:val="center"/>
      </w:pPr>
      <w:r>
        <w:rPr>
          <w:rFonts w:ascii="Times New Roman" w:hAnsi="Times New Roman"/>
          <w:b/>
          <w:i w:val="0"/>
          <w:sz w:val="22"/>
        </w:rPr>
        <w:t>Table 3.6: Software Requirements</w:t>
      </w:r>
    </w:p>
    <w:tbl>
      <w:tblPr>
        <w:tblStyle w:val="TableGrid"/>
        <w:tblW w:type="auto" w:w="0"/>
        <w:tblLook w:firstColumn="1" w:firstRow="1" w:lastColumn="0" w:lastRow="0" w:noHBand="0" w:noVBand="1" w:val="04A0"/>
      </w:tblPr>
      <w:tblGrid>
        <w:gridCol w:w="3009"/>
        <w:gridCol w:w="3009"/>
        <w:gridCol w:w="3009"/>
      </w:tblGrid>
      <w:tr>
        <w:tc>
          <w:tcPr>
            <w:tcW w:type="dxa" w:w="3600"/>
            <w:tcBorders>
              <w:top w:val="single" w:sz="4" w:color="CCCCCC"/>
              <w:left w:val="single" w:sz="4" w:color="CCCCCC"/>
              <w:bottom w:val="single" w:sz="4" w:color="CCCCCC"/>
              <w:right w:val="single" w:sz="4" w:color="CCCCCC"/>
            </w:tcBorders>
            <w:shd w:val="clear" w:color="auto" w:fill="D5E8F0"/>
          </w:tcPr>
          <w:p>
            <w:pPr>
              <w:jc w:val="center"/>
            </w:pPr>
            <w:r>
              <w:rPr>
                <w:rFonts w:ascii="Times New Roman" w:hAnsi="Times New Roman"/>
                <w:b/>
                <w:i w:val="0"/>
                <w:sz w:val="20"/>
              </w:rPr>
              <w:t>Software / Framework</w:t>
            </w:r>
          </w:p>
        </w:tc>
        <w:tc>
          <w:tcPr>
            <w:tcW w:type="dxa" w:w="1296"/>
            <w:tcBorders>
              <w:top w:val="single" w:sz="4" w:color="CCCCCC"/>
              <w:left w:val="single" w:sz="4" w:color="CCCCCC"/>
              <w:bottom w:val="single" w:sz="4" w:color="CCCCCC"/>
              <w:right w:val="single" w:sz="4" w:color="CCCCCC"/>
            </w:tcBorders>
            <w:shd w:val="clear" w:color="auto" w:fill="D5E8F0"/>
          </w:tcPr>
          <w:p>
            <w:pPr>
              <w:jc w:val="center"/>
            </w:pPr>
            <w:r>
              <w:rPr>
                <w:rFonts w:ascii="Times New Roman" w:hAnsi="Times New Roman"/>
                <w:b/>
                <w:i w:val="0"/>
                <w:sz w:val="20"/>
              </w:rPr>
              <w:t>Version</w:t>
            </w:r>
          </w:p>
        </w:tc>
        <w:tc>
          <w:tcPr>
            <w:tcW w:type="dxa" w:w="4133"/>
            <w:tcBorders>
              <w:top w:val="single" w:sz="4" w:color="CCCCCC"/>
              <w:left w:val="single" w:sz="4" w:color="CCCCCC"/>
              <w:bottom w:val="single" w:sz="4" w:color="CCCCCC"/>
              <w:right w:val="single" w:sz="4" w:color="CCCCCC"/>
            </w:tcBorders>
            <w:shd w:val="clear" w:color="auto" w:fill="D5E8F0"/>
          </w:tcPr>
          <w:p>
            <w:pPr>
              <w:jc w:val="center"/>
            </w:pPr>
            <w:r>
              <w:rPr>
                <w:rFonts w:ascii="Times New Roman" w:hAnsi="Times New Roman"/>
                <w:b/>
                <w:i w:val="0"/>
                <w:sz w:val="20"/>
              </w:rPr>
              <w:t>Purpose</w:t>
            </w:r>
          </w:p>
        </w:tc>
      </w:tr>
      <w:tr>
        <w:tc>
          <w:tcPr>
            <w:tcW w:type="dxa" w:w="360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Python</w:t>
            </w:r>
          </w:p>
        </w:tc>
        <w:tc>
          <w:tcPr>
            <w:tcW w:type="dxa" w:w="1296"/>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3.12</w:t>
            </w:r>
          </w:p>
        </w:tc>
        <w:tc>
          <w:tcPr>
            <w:tcW w:type="dxa" w:w="4133"/>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Backend development and ML model training</w:t>
            </w:r>
          </w:p>
        </w:tc>
      </w:tr>
      <w:tr>
        <w:tc>
          <w:tcPr>
            <w:tcW w:type="dxa" w:w="360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FastAPI (FastAPI, 2025)</w:t>
            </w:r>
          </w:p>
        </w:tc>
        <w:tc>
          <w:tcPr>
            <w:tcW w:type="dxa" w:w="1296"/>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0.115.0</w:t>
            </w:r>
          </w:p>
        </w:tc>
        <w:tc>
          <w:tcPr>
            <w:tcW w:type="dxa" w:w="4133"/>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RESTful API framework for the backend server</w:t>
            </w:r>
          </w:p>
        </w:tc>
      </w:tr>
      <w:tr>
        <w:tc>
          <w:tcPr>
            <w:tcW w:type="dxa" w:w="360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CatBoost (Prokhorenkova et al., 2018)</w:t>
            </w:r>
          </w:p>
        </w:tc>
        <w:tc>
          <w:tcPr>
            <w:tcW w:type="dxa" w:w="1296"/>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1.2.5</w:t>
            </w:r>
          </w:p>
        </w:tc>
        <w:tc>
          <w:tcPr>
            <w:tcW w:type="dxa" w:w="4133"/>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Business survival classification model</w:t>
            </w:r>
          </w:p>
        </w:tc>
      </w:tr>
      <w:tr>
        <w:tc>
          <w:tcPr>
            <w:tcW w:type="dxa" w:w="360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LightGBM (Ke et al., 2017)</w:t>
            </w:r>
          </w:p>
        </w:tc>
        <w:tc>
          <w:tcPr>
            <w:tcW w:type="dxa" w:w="1296"/>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4.3.0</w:t>
            </w:r>
          </w:p>
        </w:tc>
        <w:tc>
          <w:tcPr>
            <w:tcW w:type="dxa" w:w="4133"/>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Business survival classification model</w:t>
            </w:r>
          </w:p>
        </w:tc>
      </w:tr>
      <w:tr>
        <w:tc>
          <w:tcPr>
            <w:tcW w:type="dxa" w:w="360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XGBoost (Chen &amp; Guestrin, 2016)</w:t>
            </w:r>
          </w:p>
        </w:tc>
        <w:tc>
          <w:tcPr>
            <w:tcW w:type="dxa" w:w="1296"/>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2.0.3</w:t>
            </w:r>
          </w:p>
        </w:tc>
        <w:tc>
          <w:tcPr>
            <w:tcW w:type="dxa" w:w="4133"/>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Business profit regression model</w:t>
            </w:r>
          </w:p>
        </w:tc>
      </w:tr>
      <w:tr>
        <w:tc>
          <w:tcPr>
            <w:tcW w:type="dxa" w:w="360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lifelines</w:t>
            </w:r>
          </w:p>
        </w:tc>
        <w:tc>
          <w:tcPr>
            <w:tcW w:type="dxa" w:w="1296"/>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0.29.0</w:t>
            </w:r>
          </w:p>
        </w:tc>
        <w:tc>
          <w:tcPr>
            <w:tcW w:type="dxa" w:w="4133"/>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Cox Proportional Hazards survival model</w:t>
            </w:r>
          </w:p>
        </w:tc>
      </w:tr>
      <w:tr>
        <w:tc>
          <w:tcPr>
            <w:tcW w:type="dxa" w:w="360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SHAP</w:t>
            </w:r>
          </w:p>
        </w:tc>
        <w:tc>
          <w:tcPr>
            <w:tcW w:type="dxa" w:w="1296"/>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0.45.0</w:t>
            </w:r>
          </w:p>
        </w:tc>
        <w:tc>
          <w:tcPr>
            <w:tcW w:type="dxa" w:w="4133"/>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Model explainability and feature contribution analysis</w:t>
            </w:r>
          </w:p>
        </w:tc>
      </w:tr>
      <w:tr>
        <w:tc>
          <w:tcPr>
            <w:tcW w:type="dxa" w:w="360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Joblib</w:t>
            </w:r>
          </w:p>
        </w:tc>
        <w:tc>
          <w:tcPr>
            <w:tcW w:type="dxa" w:w="1296"/>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Latest stable</w:t>
            </w:r>
          </w:p>
        </w:tc>
        <w:tc>
          <w:tcPr>
            <w:tcW w:type="dxa" w:w="4133"/>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Model serialisation and loading</w:t>
            </w:r>
          </w:p>
        </w:tc>
      </w:tr>
      <w:tr>
        <w:tc>
          <w:tcPr>
            <w:tcW w:type="dxa" w:w="360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Pandas</w:t>
            </w:r>
          </w:p>
        </w:tc>
        <w:tc>
          <w:tcPr>
            <w:tcW w:type="dxa" w:w="1296"/>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Latest stable</w:t>
            </w:r>
          </w:p>
        </w:tc>
        <w:tc>
          <w:tcPr>
            <w:tcW w:type="dxa" w:w="4133"/>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Data manipulation and feature engineering</w:t>
            </w:r>
          </w:p>
        </w:tc>
      </w:tr>
      <w:tr>
        <w:tc>
          <w:tcPr>
            <w:tcW w:type="dxa" w:w="360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Supabase Python Client (Supabase, 2026)</w:t>
            </w:r>
          </w:p>
        </w:tc>
        <w:tc>
          <w:tcPr>
            <w:tcW w:type="dxa" w:w="1296"/>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2.4.6</w:t>
            </w:r>
          </w:p>
        </w:tc>
        <w:tc>
          <w:tcPr>
            <w:tcW w:type="dxa" w:w="4133"/>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Database access and authentication</w:t>
            </w:r>
          </w:p>
        </w:tc>
      </w:tr>
      <w:tr>
        <w:tc>
          <w:tcPr>
            <w:tcW w:type="dxa" w:w="360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Groq Python SDK (Groq, 2025)</w:t>
            </w:r>
          </w:p>
        </w:tc>
        <w:tc>
          <w:tcPr>
            <w:tcW w:type="dxa" w:w="1296"/>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0.5.0</w:t>
            </w:r>
          </w:p>
        </w:tc>
        <w:tc>
          <w:tcPr>
            <w:tcW w:type="dxa" w:w="4133"/>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LLM advisory report generation</w:t>
            </w:r>
          </w:p>
        </w:tc>
      </w:tr>
      <w:tr>
        <w:tc>
          <w:tcPr>
            <w:tcW w:type="dxa" w:w="360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Upstash Redis (Redis, 2025)</w:t>
            </w:r>
          </w:p>
        </w:tc>
        <w:tc>
          <w:tcPr>
            <w:tcW w:type="dxa" w:w="1296"/>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0.17.0</w:t>
            </w:r>
          </w:p>
        </w:tc>
        <w:tc>
          <w:tcPr>
            <w:tcW w:type="dxa" w:w="4133"/>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Prediction result caching</w:t>
            </w:r>
          </w:p>
        </w:tc>
      </w:tr>
      <w:tr>
        <w:tc>
          <w:tcPr>
            <w:tcW w:type="dxa" w:w="360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ReportLab</w:t>
            </w:r>
          </w:p>
        </w:tc>
        <w:tc>
          <w:tcPr>
            <w:tcW w:type="dxa" w:w="1296"/>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4.2.2</w:t>
            </w:r>
          </w:p>
        </w:tc>
        <w:tc>
          <w:tcPr>
            <w:tcW w:type="dxa" w:w="4133"/>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PDF report generation</w:t>
            </w:r>
          </w:p>
        </w:tc>
      </w:tr>
      <w:tr>
        <w:tc>
          <w:tcPr>
            <w:tcW w:type="dxa" w:w="360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SendGrid</w:t>
            </w:r>
          </w:p>
        </w:tc>
        <w:tc>
          <w:tcPr>
            <w:tcW w:type="dxa" w:w="1296"/>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6.11.0</w:t>
            </w:r>
          </w:p>
        </w:tc>
        <w:tc>
          <w:tcPr>
            <w:tcW w:type="dxa" w:w="4133"/>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Email notification delivery</w:t>
            </w:r>
          </w:p>
        </w:tc>
      </w:tr>
      <w:tr>
        <w:tc>
          <w:tcPr>
            <w:tcW w:type="dxa" w:w="360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React Native (React Native, 2026)</w:t>
            </w:r>
          </w:p>
        </w:tc>
        <w:tc>
          <w:tcPr>
            <w:tcW w:type="dxa" w:w="1296"/>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Expo SDK 52.0.0</w:t>
            </w:r>
          </w:p>
        </w:tc>
        <w:tc>
          <w:tcPr>
            <w:tcW w:type="dxa" w:w="4133"/>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Cross-platform mobile application</w:t>
            </w:r>
          </w:p>
        </w:tc>
      </w:tr>
      <w:tr>
        <w:tc>
          <w:tcPr>
            <w:tcW w:type="dxa" w:w="360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Expo (Expo, 2026)</w:t>
            </w:r>
          </w:p>
        </w:tc>
        <w:tc>
          <w:tcPr>
            <w:tcW w:type="dxa" w:w="1296"/>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SDK 52.0.0</w:t>
            </w:r>
          </w:p>
        </w:tc>
        <w:tc>
          <w:tcPr>
            <w:tcW w:type="dxa" w:w="4133"/>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Mobile development and deployment toolchain</w:t>
            </w:r>
          </w:p>
        </w:tc>
      </w:tr>
      <w:tr>
        <w:tc>
          <w:tcPr>
            <w:tcW w:type="dxa" w:w="360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Next.js (Next.js, 2026)</w:t>
            </w:r>
          </w:p>
        </w:tc>
        <w:tc>
          <w:tcPr>
            <w:tcW w:type="dxa" w:w="1296"/>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14.2.0</w:t>
            </w:r>
          </w:p>
        </w:tc>
        <w:tc>
          <w:tcPr>
            <w:tcW w:type="dxa" w:w="4133"/>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Web-based analytics and administrative interface</w:t>
            </w:r>
          </w:p>
        </w:tc>
      </w:tr>
      <w:tr>
        <w:tc>
          <w:tcPr>
            <w:tcW w:type="dxa" w:w="360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PostgreSQL via Supabase (Supabase, 2026)</w:t>
            </w:r>
          </w:p>
        </w:tc>
        <w:tc>
          <w:tcPr>
            <w:tcW w:type="dxa" w:w="1296"/>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15</w:t>
            </w:r>
          </w:p>
        </w:tc>
        <w:tc>
          <w:tcPr>
            <w:tcW w:type="dxa" w:w="4133"/>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Relational database management</w:t>
            </w:r>
          </w:p>
        </w:tc>
      </w:tr>
      <w:tr>
        <w:tc>
          <w:tcPr>
            <w:tcW w:type="dxa" w:w="360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Pytest</w:t>
            </w:r>
          </w:p>
        </w:tc>
        <w:tc>
          <w:tcPr>
            <w:tcW w:type="dxa" w:w="1296"/>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8.1.0</w:t>
            </w:r>
          </w:p>
        </w:tc>
        <w:tc>
          <w:tcPr>
            <w:tcW w:type="dxa" w:w="4133"/>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Automated backend testing</w:t>
            </w:r>
          </w:p>
        </w:tc>
      </w:tr>
      <w:tr>
        <w:tc>
          <w:tcPr>
            <w:tcW w:type="dxa" w:w="360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Visual Studio Code</w:t>
            </w:r>
          </w:p>
        </w:tc>
        <w:tc>
          <w:tcPr>
            <w:tcW w:type="dxa" w:w="1296"/>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1.87.0</w:t>
            </w:r>
          </w:p>
        </w:tc>
        <w:tc>
          <w:tcPr>
            <w:tcW w:type="dxa" w:w="4133"/>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Primary development IDE</w:t>
            </w:r>
          </w:p>
        </w:tc>
      </w:tr>
    </w:tbl>
    <w:p>
      <w:pPr>
        <w:spacing w:after="80"/>
      </w:pPr>
    </w:p>
    <w:p>
      <w:pPr>
        <w:spacing w:before="200" w:after="80"/>
      </w:pPr>
      <w:r>
        <w:rPr>
          <w:rFonts w:ascii="Times New Roman" w:hAnsi="Times New Roman"/>
          <w:b/>
          <w:i w:val="0"/>
          <w:sz w:val="24"/>
        </w:rPr>
        <w:t>3.5.3 System Acquisition Strategy</w:t>
      </w:r>
    </w:p>
    <w:p>
      <w:pPr>
        <w:spacing w:after="120"/>
        <w:ind w:firstLine="720"/>
        <w:jc w:val="both"/>
      </w:pPr>
      <w:r>
        <w:rPr>
          <w:rFonts w:ascii="Times New Roman" w:hAnsi="Times New Roman"/>
          <w:b w:val="0"/>
          <w:i w:val="0"/>
          <w:sz w:val="24"/>
        </w:rPr>
        <w:t>All tools and frameworks used in this project are open-source or available under free-tier licensing, which kept development costs minimal. Python and its libraries were installed from the Python Package Index using pip. React Native and Expo were installed via the Node Package Manager, as was Next.js. Supabase was accessed through a free-tier account at supabase.com, providing a hosted PostgreSQL instance, authentication services, and a RESTful data API. The Groq inference API was accessed via a free developer account at console.groq.com. The training dataset was generated to reflect the socioeconomic characteristics of SMEs in Cameroon's major economic cities and supplemented with real survey responses and World Bank microdata.</w:t>
      </w:r>
    </w:p>
    <w:p>
      <w:pPr>
        <w:spacing w:before="280" w:after="120"/>
      </w:pPr>
      <w:r>
        <w:rPr>
          <w:rFonts w:ascii="Times New Roman" w:hAnsi="Times New Roman"/>
          <w:b/>
          <w:i w:val="0"/>
          <w:sz w:val="24"/>
        </w:rPr>
        <w:t>3.6 System Design Diagrams</w:t>
      </w:r>
    </w:p>
    <w:p>
      <w:pPr>
        <w:spacing w:after="120"/>
        <w:ind w:firstLine="720"/>
        <w:jc w:val="both"/>
      </w:pPr>
      <w:r>
        <w:rPr>
          <w:rFonts w:ascii="Times New Roman" w:hAnsi="Times New Roman"/>
          <w:b w:val="0"/>
          <w:i w:val="0"/>
          <w:sz w:val="24"/>
        </w:rPr>
        <w:t>This section presents the complete set of system design diagrams for BizNess OS. The diagrams cover data flow, use cases, system activity, class structure, component interaction sequences, and database schema.</w:t>
      </w:r>
    </w:p>
    <w:p>
      <w:pPr>
        <w:spacing w:before="200" w:after="80"/>
      </w:pPr>
      <w:r>
        <w:rPr>
          <w:rFonts w:ascii="Times New Roman" w:hAnsi="Times New Roman"/>
          <w:b/>
          <w:i w:val="0"/>
          <w:sz w:val="24"/>
        </w:rPr>
        <w:t>3.6.1 Data Flow Diagrams</w:t>
      </w:r>
    </w:p>
    <w:p>
      <w:pPr>
        <w:spacing w:after="120"/>
        <w:ind w:firstLine="720"/>
        <w:jc w:val="both"/>
      </w:pPr>
      <w:r>
        <w:rPr>
          <w:rFonts w:ascii="Times New Roman" w:hAnsi="Times New Roman"/>
          <w:b w:val="0"/>
          <w:i w:val="0"/>
          <w:sz w:val="24"/>
        </w:rPr>
        <w:t>The data flow diagrams model how data moves through the BizNess OS system. Figure 3.3 presents the Level 0 context diagram, which shows BizNess OS as a single process receiving inputs from the Entrepreneur and Administrator actors and communicating with the Groq API, Supabase, and Upstash Redis external entities. Figure 3.4 presents the Level 1 DFD, which decomposes the system into its major functional processes: authentication, business registration, prediction inference, LLM advisory generation, report generation, and dashboard retrieval.</w:t>
      </w:r>
    </w:p>
    <w:tbl>
      <w:tblPr>
        <w:tblW w:type="auto" w:w="0"/>
        <w:tblLook w:firstColumn="1" w:firstRow="1" w:lastColumn="0" w:lastRow="0" w:noHBand="0" w:noVBand="1" w:val="04A0"/>
      </w:tblPr>
      <w:tblGrid>
        <w:gridCol w:w="9026"/>
      </w:tblGrid>
      <w:tr>
        <w:tc>
          <w:tcPr>
            <w:tcW w:type="dxa" w:w="9026"/>
            <w:shd w:fill="EEEEEE" w:val="clear"/>
          </w:tcPr>
          <w:p>
            <w:pPr>
              <w:spacing w:before="440" w:after="440"/>
              <w:jc w:val="center"/>
            </w:pPr>
            <w:r>
              <w:rPr>
                <w:rFonts w:ascii="Times New Roman" w:hAnsi="Times New Roman"/>
                <w:i/>
                <w:color w:val="666666"/>
                <w:sz w:val="20"/>
              </w:rPr>
              <w:t>[ Insert Figure 3.3 here ]</w:t>
            </w:r>
          </w:p>
        </w:tc>
      </w:tr>
    </w:tbl>
    <w:p>
      <w:pPr>
        <w:spacing w:after="200"/>
        <w:jc w:val="center"/>
      </w:pPr>
      <w:r>
        <w:rPr>
          <w:rFonts w:ascii="Times New Roman" w:hAnsi="Times New Roman"/>
          <w:b w:val="0"/>
          <w:i/>
          <w:sz w:val="20"/>
        </w:rPr>
        <w:t>Figure 3.3: Level 0 Data Flow Diagram (Context Diagram) showing BizNess OS and its external entities</w:t>
      </w:r>
    </w:p>
    <w:tbl>
      <w:tblPr>
        <w:tblW w:type="auto" w:w="0"/>
        <w:tblLook w:firstColumn="1" w:firstRow="1" w:lastColumn="0" w:lastRow="0" w:noHBand="0" w:noVBand="1" w:val="04A0"/>
      </w:tblPr>
      <w:tblGrid>
        <w:gridCol w:w="9026"/>
      </w:tblGrid>
      <w:tr>
        <w:tc>
          <w:tcPr>
            <w:tcW w:type="dxa" w:w="9026"/>
            <w:shd w:fill="EEEEEE" w:val="clear"/>
          </w:tcPr>
          <w:p>
            <w:pPr>
              <w:spacing w:before="440" w:after="440"/>
              <w:jc w:val="center"/>
            </w:pPr>
            <w:r>
              <w:rPr>
                <w:rFonts w:ascii="Times New Roman" w:hAnsi="Times New Roman"/>
                <w:i/>
                <w:color w:val="666666"/>
                <w:sz w:val="20"/>
              </w:rPr>
              <w:t>[ Insert Figure 3.4 here ]</w:t>
            </w:r>
          </w:p>
        </w:tc>
      </w:tr>
    </w:tbl>
    <w:p>
      <w:pPr>
        <w:spacing w:after="200"/>
        <w:jc w:val="center"/>
      </w:pPr>
      <w:r>
        <w:rPr>
          <w:rFonts w:ascii="Times New Roman" w:hAnsi="Times New Roman"/>
          <w:b w:val="0"/>
          <w:i/>
          <w:sz w:val="20"/>
        </w:rPr>
        <w:t>Figure 3.4: Level 1 Data Flow Diagram showing the major functional processes and data stores within BizNess OS</w:t>
      </w:r>
    </w:p>
    <w:p>
      <w:pPr>
        <w:spacing w:before="200" w:after="80"/>
      </w:pPr>
      <w:r>
        <w:rPr>
          <w:rFonts w:ascii="Times New Roman" w:hAnsi="Times New Roman"/>
          <w:b/>
          <w:i w:val="0"/>
          <w:sz w:val="24"/>
        </w:rPr>
        <w:t>3.6.2 Use Case Diagram</w:t>
      </w:r>
    </w:p>
    <w:p>
      <w:pPr>
        <w:spacing w:after="120"/>
        <w:ind w:firstLine="720"/>
        <w:jc w:val="both"/>
      </w:pPr>
      <w:r>
        <w:rPr>
          <w:rFonts w:ascii="Times New Roman" w:hAnsi="Times New Roman"/>
          <w:b w:val="0"/>
          <w:i w:val="0"/>
          <w:sz w:val="24"/>
        </w:rPr>
        <w:t>The primary actors in BizNess OS are the Entrepreneur, the Administrator, and the System. The Entrepreneur use cases are: Register Account, Login, Register Business Profile, Generate AI Prediction, View Prediction History, Download Advisory Report, Upload PDF Business Plan, and Configure Notification Preferences. The Administrator use cases are: View Audit Log, Manage Users, and Export Business Data. The System use cases are: Run ML Inference, Generate Groq Advisory, Send Email Notification, and Send Push Notification. Figure 3.5 below illustrates these actors and use case relationships.</w:t>
      </w:r>
    </w:p>
    <w:tbl>
      <w:tblPr>
        <w:tblW w:type="auto" w:w="0"/>
        <w:tblLook w:firstColumn="1" w:firstRow="1" w:lastColumn="0" w:lastRow="0" w:noHBand="0" w:noVBand="1" w:val="04A0"/>
      </w:tblPr>
      <w:tblGrid>
        <w:gridCol w:w="9026"/>
      </w:tblGrid>
      <w:tr>
        <w:tc>
          <w:tcPr>
            <w:tcW w:type="dxa" w:w="9026"/>
            <w:shd w:fill="EEEEEE" w:val="clear"/>
          </w:tcPr>
          <w:p>
            <w:pPr>
              <w:spacing w:before="440" w:after="440"/>
              <w:jc w:val="center"/>
            </w:pPr>
            <w:r>
              <w:rPr>
                <w:rFonts w:ascii="Times New Roman" w:hAnsi="Times New Roman"/>
                <w:i/>
                <w:color w:val="666666"/>
                <w:sz w:val="20"/>
              </w:rPr>
              <w:t>[ Insert Figure 3.5 here ]</w:t>
            </w:r>
          </w:p>
        </w:tc>
      </w:tr>
    </w:tbl>
    <w:p>
      <w:pPr>
        <w:spacing w:after="200"/>
        <w:jc w:val="center"/>
      </w:pPr>
      <w:r>
        <w:rPr>
          <w:rFonts w:ascii="Times New Roman" w:hAnsi="Times New Roman"/>
          <w:b w:val="0"/>
          <w:i/>
          <w:sz w:val="20"/>
        </w:rPr>
        <w:t>Figure 3.5: Use Case Diagram showing the Entrepreneur, Administrator, and System actors with their associated use cases</w:t>
      </w:r>
    </w:p>
    <w:p>
      <w:pPr>
        <w:spacing w:before="200" w:after="80"/>
      </w:pPr>
      <w:r>
        <w:rPr>
          <w:rFonts w:ascii="Times New Roman" w:hAnsi="Times New Roman"/>
          <w:b/>
          <w:i w:val="0"/>
          <w:sz w:val="24"/>
        </w:rPr>
        <w:t>3.6.3 Activity Diagram</w:t>
      </w:r>
    </w:p>
    <w:p>
      <w:pPr>
        <w:spacing w:after="120"/>
        <w:ind w:firstLine="720"/>
        <w:jc w:val="both"/>
      </w:pPr>
      <w:r>
        <w:rPr>
          <w:rFonts w:ascii="Times New Roman" w:hAnsi="Times New Roman"/>
          <w:b w:val="0"/>
          <w:i w:val="0"/>
          <w:sz w:val="24"/>
        </w:rPr>
        <w:t>The activity diagram in Figure 3.6 traces the end-to-end prediction generation workflow. When an authenticated entrepreneur submits a prediction request, the backend first checks the Upstash Redis cache for an existing result. If a cached result exists, it is returned immediately. If not, the backend fetches the business profile from Supabase, builds the feature vector, runs LightGBM and CatBoost ensemble inference, applies the Cox PH model for time-to-failure estimation, submits the results to the Groq LLM for the advisory report, saves all outputs to the database, caches the response for 24 hours, and dispatches email and push notifications to the entrepreneur.</w:t>
      </w:r>
    </w:p>
    <w:tbl>
      <w:tblPr>
        <w:tblW w:type="auto" w:w="0"/>
        <w:tblLook w:firstColumn="1" w:firstRow="1" w:lastColumn="0" w:lastRow="0" w:noHBand="0" w:noVBand="1" w:val="04A0"/>
      </w:tblPr>
      <w:tblGrid>
        <w:gridCol w:w="9026"/>
      </w:tblGrid>
      <w:tr>
        <w:tc>
          <w:tcPr>
            <w:tcW w:type="dxa" w:w="9026"/>
            <w:shd w:fill="EEEEEE" w:val="clear"/>
          </w:tcPr>
          <w:p>
            <w:pPr>
              <w:spacing w:before="440" w:after="440"/>
              <w:jc w:val="center"/>
            </w:pPr>
            <w:r>
              <w:rPr>
                <w:rFonts w:ascii="Times New Roman" w:hAnsi="Times New Roman"/>
                <w:i/>
                <w:color w:val="666666"/>
                <w:sz w:val="20"/>
              </w:rPr>
              <w:t>[ Insert Figure 3.6 here ]</w:t>
            </w:r>
          </w:p>
        </w:tc>
      </w:tr>
    </w:tbl>
    <w:p>
      <w:pPr>
        <w:spacing w:after="200"/>
        <w:jc w:val="center"/>
      </w:pPr>
      <w:r>
        <w:rPr>
          <w:rFonts w:ascii="Times New Roman" w:hAnsi="Times New Roman"/>
          <w:b w:val="0"/>
          <w:i/>
          <w:sz w:val="20"/>
        </w:rPr>
        <w:t>Figure 3.6: Activity Diagram showing the AI prediction generation workflow from request submission to notification delivery</w:t>
      </w:r>
    </w:p>
    <w:p>
      <w:pPr>
        <w:spacing w:before="200" w:after="80"/>
      </w:pPr>
      <w:r>
        <w:rPr>
          <w:rFonts w:ascii="Times New Roman" w:hAnsi="Times New Roman"/>
          <w:b/>
          <w:i w:val="0"/>
          <w:sz w:val="24"/>
        </w:rPr>
        <w:t>3.6.4 Class Diagram</w:t>
      </w:r>
    </w:p>
    <w:p>
      <w:pPr>
        <w:spacing w:after="120"/>
        <w:ind w:firstLine="720"/>
        <w:jc w:val="both"/>
      </w:pPr>
      <w:r>
        <w:rPr>
          <w:rFonts w:ascii="Times New Roman" w:hAnsi="Times New Roman"/>
          <w:b w:val="0"/>
          <w:i w:val="0"/>
          <w:sz w:val="24"/>
        </w:rPr>
        <w:t>The class diagram in Figure 3.7 represents the main classes in the BizNess OS backend, their attributes, and their relationships. The core classes are SMEUser, OwnerProfile, Business, BusinessProfile, SurvivalPrediction, GrowthForecast, AuditLog, PredictionService, LLMAdvisoryService, and ReportService. PredictionService holds references to the three trained model objects and exposes a predict() method that returns a PredictionResult composite. LLMAdvisoryService calls the Groq API and returns a structured AdvisoryReport. ReportService uses ReportLab to render a PDF from a PredictionResult and AdvisoryReport.</w:t>
      </w:r>
    </w:p>
    <w:tbl>
      <w:tblPr>
        <w:tblW w:type="auto" w:w="0"/>
        <w:tblLook w:firstColumn="1" w:firstRow="1" w:lastColumn="0" w:lastRow="0" w:noHBand="0" w:noVBand="1" w:val="04A0"/>
      </w:tblPr>
      <w:tblGrid>
        <w:gridCol w:w="9026"/>
      </w:tblGrid>
      <w:tr>
        <w:tc>
          <w:tcPr>
            <w:tcW w:type="dxa" w:w="9026"/>
            <w:shd w:fill="EEEEEE" w:val="clear"/>
          </w:tcPr>
          <w:p>
            <w:pPr>
              <w:spacing w:before="440" w:after="440"/>
              <w:jc w:val="center"/>
            </w:pPr>
            <w:r>
              <w:rPr>
                <w:rFonts w:ascii="Times New Roman" w:hAnsi="Times New Roman"/>
                <w:i/>
                <w:color w:val="666666"/>
                <w:sz w:val="20"/>
              </w:rPr>
              <w:t>[ Insert Figure 3.7 here ]</w:t>
            </w:r>
          </w:p>
        </w:tc>
      </w:tr>
    </w:tbl>
    <w:p>
      <w:pPr>
        <w:spacing w:after="200"/>
        <w:jc w:val="center"/>
      </w:pPr>
      <w:r>
        <w:rPr>
          <w:rFonts w:ascii="Times New Roman" w:hAnsi="Times New Roman"/>
          <w:b w:val="0"/>
          <w:i/>
          <w:sz w:val="20"/>
        </w:rPr>
        <w:t>Figure 3.7: Class Diagram showing the BizNess OS backend classes, attributes, methods, and relationships</w:t>
      </w:r>
    </w:p>
    <w:p>
      <w:pPr>
        <w:spacing w:before="200" w:after="80"/>
      </w:pPr>
      <w:r>
        <w:rPr>
          <w:rFonts w:ascii="Times New Roman" w:hAnsi="Times New Roman"/>
          <w:b/>
          <w:i w:val="0"/>
          <w:sz w:val="24"/>
        </w:rPr>
        <w:t>3.6.5 Sequence Diagram</w:t>
      </w:r>
    </w:p>
    <w:p>
      <w:pPr>
        <w:spacing w:after="120"/>
        <w:ind w:firstLine="720"/>
        <w:jc w:val="both"/>
      </w:pPr>
      <w:r>
        <w:rPr>
          <w:rFonts w:ascii="Times New Roman" w:hAnsi="Times New Roman"/>
          <w:b w:val="0"/>
          <w:i w:val="0"/>
          <w:sz w:val="24"/>
        </w:rPr>
        <w:t>The sequence diagram in Figure 3.8 models the message flow between the MobileClient, FastAPI Backend, Redis Cache, Supabase Database, ML Models, and Groq API during a prediction generation request. The diagram shows the cache-aside pattern in detail: the backend queries Redis before invoking the ML pipeline, and writes the result back to Redis after inference completes. The Groq API call is shown as a synchronous HTTPS request returning a JSON object that is then saved to the database alongside the prediction output.</w:t>
      </w:r>
    </w:p>
    <w:tbl>
      <w:tblPr>
        <w:tblW w:type="auto" w:w="0"/>
        <w:tblLook w:firstColumn="1" w:firstRow="1" w:lastColumn="0" w:lastRow="0" w:noHBand="0" w:noVBand="1" w:val="04A0"/>
      </w:tblPr>
      <w:tblGrid>
        <w:gridCol w:w="9026"/>
      </w:tblGrid>
      <w:tr>
        <w:tc>
          <w:tcPr>
            <w:tcW w:type="dxa" w:w="9026"/>
            <w:shd w:fill="EEEEEE" w:val="clear"/>
          </w:tcPr>
          <w:p>
            <w:pPr>
              <w:spacing w:before="440" w:after="440"/>
              <w:jc w:val="center"/>
            </w:pPr>
            <w:r>
              <w:rPr>
                <w:rFonts w:ascii="Times New Roman" w:hAnsi="Times New Roman"/>
                <w:i/>
                <w:color w:val="666666"/>
                <w:sz w:val="20"/>
              </w:rPr>
              <w:t>[ Insert Figure 3.8 here ]</w:t>
            </w:r>
          </w:p>
        </w:tc>
      </w:tr>
    </w:tbl>
    <w:p>
      <w:pPr>
        <w:spacing w:after="200"/>
        <w:jc w:val="center"/>
      </w:pPr>
      <w:r>
        <w:rPr>
          <w:rFonts w:ascii="Times New Roman" w:hAnsi="Times New Roman"/>
          <w:b w:val="0"/>
          <w:i/>
          <w:sz w:val="20"/>
        </w:rPr>
        <w:t>Figure 3.8: Sequence Diagram showing the message flow between client, backend, cache, database, ML models, and Groq API during prediction generation</w:t>
      </w:r>
    </w:p>
    <w:p>
      <w:pPr>
        <w:spacing w:before="200" w:after="80"/>
      </w:pPr>
      <w:r>
        <w:rPr>
          <w:rFonts w:ascii="Times New Roman" w:hAnsi="Times New Roman"/>
          <w:b/>
          <w:i w:val="0"/>
          <w:sz w:val="24"/>
        </w:rPr>
        <w:t>3.6.6 Entity-Relationship Diagram and Data Dictionary</w:t>
      </w:r>
    </w:p>
    <w:p>
      <w:pPr>
        <w:spacing w:after="120"/>
        <w:ind w:firstLine="720"/>
        <w:jc w:val="both"/>
      </w:pPr>
      <w:r>
        <w:rPr>
          <w:rFonts w:ascii="Times New Roman" w:hAnsi="Times New Roman"/>
          <w:b w:val="0"/>
          <w:i w:val="0"/>
          <w:sz w:val="24"/>
        </w:rPr>
        <w:t>The entity-relationship diagram in Figure 3.9 describes the relational schema implemented in Supabase PostgreSQL. The core entities are sme (the user account), owner (the entrepreneur profile), business (the registered business entity), business_profile (financial and operational attributes), survival_prediction (stored ensemble classification results), growth_forecast (stored XGBoost regression results and advisory reports), and audit_log (system event records). The sme entity has a one-to-one relationship with owner. Each owner may register one or more business entities. Each business has one business_profile and may accumulate multiple survival_prediction and growth_forecast records over time.</w:t>
      </w:r>
    </w:p>
    <w:tbl>
      <w:tblPr>
        <w:tblW w:type="auto" w:w="0"/>
        <w:tblLook w:firstColumn="1" w:firstRow="1" w:lastColumn="0" w:lastRow="0" w:noHBand="0" w:noVBand="1" w:val="04A0"/>
      </w:tblPr>
      <w:tblGrid>
        <w:gridCol w:w="9026"/>
      </w:tblGrid>
      <w:tr>
        <w:tc>
          <w:tcPr>
            <w:tcW w:type="dxa" w:w="9026"/>
            <w:shd w:fill="EEEEEE" w:val="clear"/>
          </w:tcPr>
          <w:p>
            <w:pPr>
              <w:spacing w:before="440" w:after="440"/>
              <w:jc w:val="center"/>
            </w:pPr>
            <w:r>
              <w:rPr>
                <w:rFonts w:ascii="Times New Roman" w:hAnsi="Times New Roman"/>
                <w:i/>
                <w:color w:val="666666"/>
                <w:sz w:val="20"/>
              </w:rPr>
              <w:t>[ Insert Figure 3.9 here ]</w:t>
            </w:r>
          </w:p>
        </w:tc>
      </w:tr>
    </w:tbl>
    <w:p>
      <w:pPr>
        <w:spacing w:after="200"/>
        <w:jc w:val="center"/>
      </w:pPr>
      <w:r>
        <w:rPr>
          <w:rFonts w:ascii="Times New Roman" w:hAnsi="Times New Roman"/>
          <w:b w:val="0"/>
          <w:i/>
          <w:sz w:val="20"/>
        </w:rPr>
        <w:t>Figure 3.9: Entity-Relationship Diagram showing the BizNess OS relational schema with all entities, attributes, and relationships</w:t>
      </w:r>
    </w:p>
    <w:p>
      <w:pPr>
        <w:spacing w:after="120"/>
        <w:ind w:firstLine="720"/>
        <w:jc w:val="both"/>
      </w:pPr>
      <w:r>
        <w:rPr>
          <w:rFonts w:ascii="Times New Roman" w:hAnsi="Times New Roman"/>
          <w:b w:val="0"/>
          <w:i w:val="0"/>
          <w:sz w:val="24"/>
        </w:rPr>
        <w:t>Table 3.7 provides the data dictionary for the BizNess OS database schema.</w:t>
      </w:r>
    </w:p>
    <w:p>
      <w:pPr>
        <w:spacing w:before="240" w:after="60"/>
        <w:jc w:val="center"/>
      </w:pPr>
      <w:r>
        <w:rPr>
          <w:rFonts w:ascii="Times New Roman" w:hAnsi="Times New Roman"/>
          <w:b/>
          <w:i w:val="0"/>
          <w:sz w:val="22"/>
        </w:rPr>
        <w:t>Table 3.7: Data Dictionary</w:t>
      </w:r>
    </w:p>
    <w:tbl>
      <w:tblPr>
        <w:tblStyle w:val="TableGrid"/>
        <w:tblW w:type="auto" w:w="0"/>
        <w:tblLook w:firstColumn="1" w:firstRow="1" w:lastColumn="0" w:lastRow="0" w:noHBand="0" w:noVBand="1" w:val="04A0"/>
      </w:tblPr>
      <w:tblGrid>
        <w:gridCol w:w="2256"/>
        <w:gridCol w:w="2256"/>
        <w:gridCol w:w="2256"/>
        <w:gridCol w:w="2256"/>
      </w:tblGrid>
      <w:tr>
        <w:tc>
          <w:tcPr>
            <w:tcW w:type="dxa" w:w="1872"/>
            <w:tcBorders>
              <w:top w:val="single" w:sz="4" w:color="CCCCCC"/>
              <w:left w:val="single" w:sz="4" w:color="CCCCCC"/>
              <w:bottom w:val="single" w:sz="4" w:color="CCCCCC"/>
              <w:right w:val="single" w:sz="4" w:color="CCCCCC"/>
            </w:tcBorders>
            <w:shd w:val="clear" w:color="auto" w:fill="D5E8F0"/>
          </w:tcPr>
          <w:p>
            <w:pPr>
              <w:jc w:val="center"/>
            </w:pPr>
            <w:r>
              <w:rPr>
                <w:rFonts w:ascii="Times New Roman" w:hAnsi="Times New Roman"/>
                <w:b/>
                <w:i w:val="0"/>
                <w:sz w:val="20"/>
              </w:rPr>
              <w:t>Table</w:t>
            </w:r>
          </w:p>
        </w:tc>
        <w:tc>
          <w:tcPr>
            <w:tcW w:type="dxa" w:w="2160"/>
            <w:tcBorders>
              <w:top w:val="single" w:sz="4" w:color="CCCCCC"/>
              <w:left w:val="single" w:sz="4" w:color="CCCCCC"/>
              <w:bottom w:val="single" w:sz="4" w:color="CCCCCC"/>
              <w:right w:val="single" w:sz="4" w:color="CCCCCC"/>
            </w:tcBorders>
            <w:shd w:val="clear" w:color="auto" w:fill="D5E8F0"/>
          </w:tcPr>
          <w:p>
            <w:pPr>
              <w:jc w:val="center"/>
            </w:pPr>
            <w:r>
              <w:rPr>
                <w:rFonts w:ascii="Times New Roman" w:hAnsi="Times New Roman"/>
                <w:b/>
                <w:i w:val="0"/>
                <w:sz w:val="20"/>
              </w:rPr>
              <w:t>Field</w:t>
            </w:r>
          </w:p>
        </w:tc>
        <w:tc>
          <w:tcPr>
            <w:tcW w:type="dxa" w:w="1296"/>
            <w:tcBorders>
              <w:top w:val="single" w:sz="4" w:color="CCCCCC"/>
              <w:left w:val="single" w:sz="4" w:color="CCCCCC"/>
              <w:bottom w:val="single" w:sz="4" w:color="CCCCCC"/>
              <w:right w:val="single" w:sz="4" w:color="CCCCCC"/>
            </w:tcBorders>
            <w:shd w:val="clear" w:color="auto" w:fill="D5E8F0"/>
          </w:tcPr>
          <w:p>
            <w:pPr>
              <w:jc w:val="center"/>
            </w:pPr>
            <w:r>
              <w:rPr>
                <w:rFonts w:ascii="Times New Roman" w:hAnsi="Times New Roman"/>
                <w:b/>
                <w:i w:val="0"/>
                <w:sz w:val="20"/>
              </w:rPr>
              <w:t>Data Type</w:t>
            </w:r>
          </w:p>
        </w:tc>
        <w:tc>
          <w:tcPr>
            <w:tcW w:type="dxa" w:w="3701"/>
            <w:tcBorders>
              <w:top w:val="single" w:sz="4" w:color="CCCCCC"/>
              <w:left w:val="single" w:sz="4" w:color="CCCCCC"/>
              <w:bottom w:val="single" w:sz="4" w:color="CCCCCC"/>
              <w:right w:val="single" w:sz="4" w:color="CCCCCC"/>
            </w:tcBorders>
            <w:shd w:val="clear" w:color="auto" w:fill="D5E8F0"/>
          </w:tcPr>
          <w:p>
            <w:pPr>
              <w:jc w:val="center"/>
            </w:pPr>
            <w:r>
              <w:rPr>
                <w:rFonts w:ascii="Times New Roman" w:hAnsi="Times New Roman"/>
                <w:b/>
                <w:i w:val="0"/>
                <w:sz w:val="20"/>
              </w:rPr>
              <w:t>Description</w:t>
            </w:r>
          </w:p>
        </w:tc>
      </w:tr>
      <w:tr>
        <w:tc>
          <w:tcPr>
            <w:tcW w:type="dxa" w:w="1872"/>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sme</w:t>
            </w:r>
          </w:p>
        </w:tc>
        <w:tc>
          <w:tcPr>
            <w:tcW w:type="dxa" w:w="216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sme_id</w:t>
            </w:r>
          </w:p>
        </w:tc>
        <w:tc>
          <w:tcPr>
            <w:tcW w:type="dxa" w:w="1296"/>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UUID</w:t>
            </w:r>
          </w:p>
        </w:tc>
        <w:tc>
          <w:tcPr>
            <w:tcW w:type="dxa" w:w="3701"/>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Primary key, unique identifier for each user account</w:t>
            </w:r>
          </w:p>
        </w:tc>
      </w:tr>
      <w:tr>
        <w:tc>
          <w:tcPr>
            <w:tcW w:type="dxa" w:w="1872"/>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sme</w:t>
            </w:r>
          </w:p>
        </w:tc>
        <w:tc>
          <w:tcPr>
            <w:tcW w:type="dxa" w:w="216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name</w:t>
            </w:r>
          </w:p>
        </w:tc>
        <w:tc>
          <w:tcPr>
            <w:tcW w:type="dxa" w:w="1296"/>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VARCHAR</w:t>
            </w:r>
          </w:p>
        </w:tc>
        <w:tc>
          <w:tcPr>
            <w:tcW w:type="dxa" w:w="3701"/>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Full name of the entrepreneur</w:t>
            </w:r>
          </w:p>
        </w:tc>
      </w:tr>
      <w:tr>
        <w:tc>
          <w:tcPr>
            <w:tcW w:type="dxa" w:w="1872"/>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sme</w:t>
            </w:r>
          </w:p>
        </w:tc>
        <w:tc>
          <w:tcPr>
            <w:tcW w:type="dxa" w:w="216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email</w:t>
            </w:r>
          </w:p>
        </w:tc>
        <w:tc>
          <w:tcPr>
            <w:tcW w:type="dxa" w:w="1296"/>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VARCHAR</w:t>
            </w:r>
          </w:p>
        </w:tc>
        <w:tc>
          <w:tcPr>
            <w:tcW w:type="dxa" w:w="3701"/>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Unique email address used for authentication</w:t>
            </w:r>
          </w:p>
        </w:tc>
      </w:tr>
      <w:tr>
        <w:tc>
          <w:tcPr>
            <w:tcW w:type="dxa" w:w="1872"/>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sme</w:t>
            </w:r>
          </w:p>
        </w:tc>
        <w:tc>
          <w:tcPr>
            <w:tcW w:type="dxa" w:w="216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password_hash</w:t>
            </w:r>
          </w:p>
        </w:tc>
        <w:tc>
          <w:tcPr>
            <w:tcW w:type="dxa" w:w="1296"/>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VARCHAR</w:t>
            </w:r>
          </w:p>
        </w:tc>
        <w:tc>
          <w:tcPr>
            <w:tcW w:type="dxa" w:w="3701"/>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Bcrypt-hashed password string</w:t>
            </w:r>
          </w:p>
        </w:tc>
      </w:tr>
      <w:tr>
        <w:tc>
          <w:tcPr>
            <w:tcW w:type="dxa" w:w="1872"/>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sme</w:t>
            </w:r>
          </w:p>
        </w:tc>
        <w:tc>
          <w:tcPr>
            <w:tcW w:type="dxa" w:w="216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preferences</w:t>
            </w:r>
          </w:p>
        </w:tc>
        <w:tc>
          <w:tcPr>
            <w:tcW w:type="dxa" w:w="1296"/>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JSONB</w:t>
            </w:r>
          </w:p>
        </w:tc>
        <w:tc>
          <w:tcPr>
            <w:tcW w:type="dxa" w:w="3701"/>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User notification and privacy preferences</w:t>
            </w:r>
          </w:p>
        </w:tc>
      </w:tr>
      <w:tr>
        <w:tc>
          <w:tcPr>
            <w:tcW w:type="dxa" w:w="1872"/>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owner</w:t>
            </w:r>
          </w:p>
        </w:tc>
        <w:tc>
          <w:tcPr>
            <w:tcW w:type="dxa" w:w="216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owner_id</w:t>
            </w:r>
          </w:p>
        </w:tc>
        <w:tc>
          <w:tcPr>
            <w:tcW w:type="dxa" w:w="1296"/>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UUID</w:t>
            </w:r>
          </w:p>
        </w:tc>
        <w:tc>
          <w:tcPr>
            <w:tcW w:type="dxa" w:w="3701"/>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Primary key for the owner profile</w:t>
            </w:r>
          </w:p>
        </w:tc>
      </w:tr>
      <w:tr>
        <w:tc>
          <w:tcPr>
            <w:tcW w:type="dxa" w:w="1872"/>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owner</w:t>
            </w:r>
          </w:p>
        </w:tc>
        <w:tc>
          <w:tcPr>
            <w:tcW w:type="dxa" w:w="216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sme_id</w:t>
            </w:r>
          </w:p>
        </w:tc>
        <w:tc>
          <w:tcPr>
            <w:tcW w:type="dxa" w:w="1296"/>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UUID</w:t>
            </w:r>
          </w:p>
        </w:tc>
        <w:tc>
          <w:tcPr>
            <w:tcW w:type="dxa" w:w="3701"/>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Foreign key referencing sme.sme_id</w:t>
            </w:r>
          </w:p>
        </w:tc>
      </w:tr>
      <w:tr>
        <w:tc>
          <w:tcPr>
            <w:tcW w:type="dxa" w:w="1872"/>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owner</w:t>
            </w:r>
          </w:p>
        </w:tc>
        <w:tc>
          <w:tcPr>
            <w:tcW w:type="dxa" w:w="216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full_name</w:t>
            </w:r>
          </w:p>
        </w:tc>
        <w:tc>
          <w:tcPr>
            <w:tcW w:type="dxa" w:w="1296"/>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VARCHAR</w:t>
            </w:r>
          </w:p>
        </w:tc>
        <w:tc>
          <w:tcPr>
            <w:tcW w:type="dxa" w:w="3701"/>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Full legal name of the business owner</w:t>
            </w:r>
          </w:p>
        </w:tc>
      </w:tr>
      <w:tr>
        <w:tc>
          <w:tcPr>
            <w:tcW w:type="dxa" w:w="1872"/>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owner</w:t>
            </w:r>
          </w:p>
        </w:tc>
        <w:tc>
          <w:tcPr>
            <w:tcW w:type="dxa" w:w="216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phone</w:t>
            </w:r>
          </w:p>
        </w:tc>
        <w:tc>
          <w:tcPr>
            <w:tcW w:type="dxa" w:w="1296"/>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VARCHAR</w:t>
            </w:r>
          </w:p>
        </w:tc>
        <w:tc>
          <w:tcPr>
            <w:tcW w:type="dxa" w:w="3701"/>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Contact phone number</w:t>
            </w:r>
          </w:p>
        </w:tc>
      </w:tr>
      <w:tr>
        <w:tc>
          <w:tcPr>
            <w:tcW w:type="dxa" w:w="1872"/>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business</w:t>
            </w:r>
          </w:p>
        </w:tc>
        <w:tc>
          <w:tcPr>
            <w:tcW w:type="dxa" w:w="216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business_id</w:t>
            </w:r>
          </w:p>
        </w:tc>
        <w:tc>
          <w:tcPr>
            <w:tcW w:type="dxa" w:w="1296"/>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UUID</w:t>
            </w:r>
          </w:p>
        </w:tc>
        <w:tc>
          <w:tcPr>
            <w:tcW w:type="dxa" w:w="3701"/>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Primary key for each registered business</w:t>
            </w:r>
          </w:p>
        </w:tc>
      </w:tr>
      <w:tr>
        <w:tc>
          <w:tcPr>
            <w:tcW w:type="dxa" w:w="1872"/>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business</w:t>
            </w:r>
          </w:p>
        </w:tc>
        <w:tc>
          <w:tcPr>
            <w:tcW w:type="dxa" w:w="216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owner_id</w:t>
            </w:r>
          </w:p>
        </w:tc>
        <w:tc>
          <w:tcPr>
            <w:tcW w:type="dxa" w:w="1296"/>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UUID</w:t>
            </w:r>
          </w:p>
        </w:tc>
        <w:tc>
          <w:tcPr>
            <w:tcW w:type="dxa" w:w="3701"/>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Foreign key referencing owner.owner_id</w:t>
            </w:r>
          </w:p>
        </w:tc>
      </w:tr>
      <w:tr>
        <w:tc>
          <w:tcPr>
            <w:tcW w:type="dxa" w:w="1872"/>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business</w:t>
            </w:r>
          </w:p>
        </w:tc>
        <w:tc>
          <w:tcPr>
            <w:tcW w:type="dxa" w:w="216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business_name</w:t>
            </w:r>
          </w:p>
        </w:tc>
        <w:tc>
          <w:tcPr>
            <w:tcW w:type="dxa" w:w="1296"/>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VARCHAR</w:t>
            </w:r>
          </w:p>
        </w:tc>
        <w:tc>
          <w:tcPr>
            <w:tcW w:type="dxa" w:w="3701"/>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Name of the registered business</w:t>
            </w:r>
          </w:p>
        </w:tc>
      </w:tr>
      <w:tr>
        <w:tc>
          <w:tcPr>
            <w:tcW w:type="dxa" w:w="1872"/>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business</w:t>
            </w:r>
          </w:p>
        </w:tc>
        <w:tc>
          <w:tcPr>
            <w:tcW w:type="dxa" w:w="216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industry</w:t>
            </w:r>
          </w:p>
        </w:tc>
        <w:tc>
          <w:tcPr>
            <w:tcW w:type="dxa" w:w="1296"/>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VARCHAR</w:t>
            </w:r>
          </w:p>
        </w:tc>
        <w:tc>
          <w:tcPr>
            <w:tcW w:type="dxa" w:w="3701"/>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Industry category (e.g., Retail, Agriculture, Technology)</w:t>
            </w:r>
          </w:p>
        </w:tc>
      </w:tr>
      <w:tr>
        <w:tc>
          <w:tcPr>
            <w:tcW w:type="dxa" w:w="1872"/>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business_profile</w:t>
            </w:r>
          </w:p>
        </w:tc>
        <w:tc>
          <w:tcPr>
            <w:tcW w:type="dxa" w:w="216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profile_id</w:t>
            </w:r>
          </w:p>
        </w:tc>
        <w:tc>
          <w:tcPr>
            <w:tcW w:type="dxa" w:w="1296"/>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UUID</w:t>
            </w:r>
          </w:p>
        </w:tc>
        <w:tc>
          <w:tcPr>
            <w:tcW w:type="dxa" w:w="3701"/>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Primary key for the business profile record</w:t>
            </w:r>
          </w:p>
        </w:tc>
      </w:tr>
      <w:tr>
        <w:tc>
          <w:tcPr>
            <w:tcW w:type="dxa" w:w="1872"/>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business_profile</w:t>
            </w:r>
          </w:p>
        </w:tc>
        <w:tc>
          <w:tcPr>
            <w:tcW w:type="dxa" w:w="216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business_id</w:t>
            </w:r>
          </w:p>
        </w:tc>
        <w:tc>
          <w:tcPr>
            <w:tcW w:type="dxa" w:w="1296"/>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UUID</w:t>
            </w:r>
          </w:p>
        </w:tc>
        <w:tc>
          <w:tcPr>
            <w:tcW w:type="dxa" w:w="3701"/>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Foreign key referencing business.business_id</w:t>
            </w:r>
          </w:p>
        </w:tc>
      </w:tr>
      <w:tr>
        <w:tc>
          <w:tcPr>
            <w:tcW w:type="dxa" w:w="1872"/>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business_profile</w:t>
            </w:r>
          </w:p>
        </w:tc>
        <w:tc>
          <w:tcPr>
            <w:tcW w:type="dxa" w:w="216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region</w:t>
            </w:r>
          </w:p>
        </w:tc>
        <w:tc>
          <w:tcPr>
            <w:tcW w:type="dxa" w:w="1296"/>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VARCHAR</w:t>
            </w:r>
          </w:p>
        </w:tc>
        <w:tc>
          <w:tcPr>
            <w:tcW w:type="dxa" w:w="3701"/>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Operating region within Cameroon</w:t>
            </w:r>
          </w:p>
        </w:tc>
      </w:tr>
      <w:tr>
        <w:tc>
          <w:tcPr>
            <w:tcW w:type="dxa" w:w="1872"/>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business_profile</w:t>
            </w:r>
          </w:p>
        </w:tc>
        <w:tc>
          <w:tcPr>
            <w:tcW w:type="dxa" w:w="216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sector</w:t>
            </w:r>
          </w:p>
        </w:tc>
        <w:tc>
          <w:tcPr>
            <w:tcW w:type="dxa" w:w="1296"/>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VARCHAR</w:t>
            </w:r>
          </w:p>
        </w:tc>
        <w:tc>
          <w:tcPr>
            <w:tcW w:type="dxa" w:w="3701"/>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Formal or Informal sector classification</w:t>
            </w:r>
          </w:p>
        </w:tc>
      </w:tr>
      <w:tr>
        <w:tc>
          <w:tcPr>
            <w:tcW w:type="dxa" w:w="1872"/>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business_profile</w:t>
            </w:r>
          </w:p>
        </w:tc>
        <w:tc>
          <w:tcPr>
            <w:tcW w:type="dxa" w:w="216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startup_capital_cfa</w:t>
            </w:r>
          </w:p>
        </w:tc>
        <w:tc>
          <w:tcPr>
            <w:tcW w:type="dxa" w:w="1296"/>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NUMERIC</w:t>
            </w:r>
          </w:p>
        </w:tc>
        <w:tc>
          <w:tcPr>
            <w:tcW w:type="dxa" w:w="3701"/>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Initial startup capital in CFA Francs</w:t>
            </w:r>
          </w:p>
        </w:tc>
      </w:tr>
      <w:tr>
        <w:tc>
          <w:tcPr>
            <w:tcW w:type="dxa" w:w="1872"/>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business_profile</w:t>
            </w:r>
          </w:p>
        </w:tc>
        <w:tc>
          <w:tcPr>
            <w:tcW w:type="dxa" w:w="216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employees</w:t>
            </w:r>
          </w:p>
        </w:tc>
        <w:tc>
          <w:tcPr>
            <w:tcW w:type="dxa" w:w="1296"/>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INTEGER</w:t>
            </w:r>
          </w:p>
        </w:tc>
        <w:tc>
          <w:tcPr>
            <w:tcW w:type="dxa" w:w="3701"/>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Number of employees</w:t>
            </w:r>
          </w:p>
        </w:tc>
      </w:tr>
      <w:tr>
        <w:tc>
          <w:tcPr>
            <w:tcW w:type="dxa" w:w="1872"/>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business_profile</w:t>
            </w:r>
          </w:p>
        </w:tc>
        <w:tc>
          <w:tcPr>
            <w:tcW w:type="dxa" w:w="216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years_of_experience</w:t>
            </w:r>
          </w:p>
        </w:tc>
        <w:tc>
          <w:tcPr>
            <w:tcW w:type="dxa" w:w="1296"/>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INTEGER</w:t>
            </w:r>
          </w:p>
        </w:tc>
        <w:tc>
          <w:tcPr>
            <w:tcW w:type="dxa" w:w="3701"/>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Owner's years of business experience</w:t>
            </w:r>
          </w:p>
        </w:tc>
      </w:tr>
      <w:tr>
        <w:tc>
          <w:tcPr>
            <w:tcW w:type="dxa" w:w="1872"/>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business_profile</w:t>
            </w:r>
          </w:p>
        </w:tc>
        <w:tc>
          <w:tcPr>
            <w:tcW w:type="dxa" w:w="216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transport_cost_pct</w:t>
            </w:r>
          </w:p>
        </w:tc>
        <w:tc>
          <w:tcPr>
            <w:tcW w:type="dxa" w:w="1296"/>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NUMERIC</w:t>
            </w:r>
          </w:p>
        </w:tc>
        <w:tc>
          <w:tcPr>
            <w:tcW w:type="dxa" w:w="3701"/>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Transport costs as a percentage of revenue</w:t>
            </w:r>
          </w:p>
        </w:tc>
      </w:tr>
      <w:tr>
        <w:tc>
          <w:tcPr>
            <w:tcW w:type="dxa" w:w="1872"/>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business_profile</w:t>
            </w:r>
          </w:p>
        </w:tc>
        <w:tc>
          <w:tcPr>
            <w:tcW w:type="dxa" w:w="216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energy_cost_pct</w:t>
            </w:r>
          </w:p>
        </w:tc>
        <w:tc>
          <w:tcPr>
            <w:tcW w:type="dxa" w:w="1296"/>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NUMERIC</w:t>
            </w:r>
          </w:p>
        </w:tc>
        <w:tc>
          <w:tcPr>
            <w:tcW w:type="dxa" w:w="3701"/>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Energy costs as a percentage of revenue</w:t>
            </w:r>
          </w:p>
        </w:tc>
      </w:tr>
      <w:tr>
        <w:tc>
          <w:tcPr>
            <w:tcW w:type="dxa" w:w="1872"/>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survival_prediction</w:t>
            </w:r>
          </w:p>
        </w:tc>
        <w:tc>
          <w:tcPr>
            <w:tcW w:type="dxa" w:w="216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prediction_id</w:t>
            </w:r>
          </w:p>
        </w:tc>
        <w:tc>
          <w:tcPr>
            <w:tcW w:type="dxa" w:w="1296"/>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UUID</w:t>
            </w:r>
          </w:p>
        </w:tc>
        <w:tc>
          <w:tcPr>
            <w:tcW w:type="dxa" w:w="3701"/>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Primary key for each survival prediction record</w:t>
            </w:r>
          </w:p>
        </w:tc>
      </w:tr>
      <w:tr>
        <w:tc>
          <w:tcPr>
            <w:tcW w:type="dxa" w:w="1872"/>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survival_prediction</w:t>
            </w:r>
          </w:p>
        </w:tc>
        <w:tc>
          <w:tcPr>
            <w:tcW w:type="dxa" w:w="216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business_id</w:t>
            </w:r>
          </w:p>
        </w:tc>
        <w:tc>
          <w:tcPr>
            <w:tcW w:type="dxa" w:w="1296"/>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UUID</w:t>
            </w:r>
          </w:p>
        </w:tc>
        <w:tc>
          <w:tcPr>
            <w:tcW w:type="dxa" w:w="3701"/>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Foreign key referencing business.business_id</w:t>
            </w:r>
          </w:p>
        </w:tc>
      </w:tr>
      <w:tr>
        <w:tc>
          <w:tcPr>
            <w:tcW w:type="dxa" w:w="1872"/>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survival_prediction</w:t>
            </w:r>
          </w:p>
        </w:tc>
        <w:tc>
          <w:tcPr>
            <w:tcW w:type="dxa" w:w="216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survival_probability</w:t>
            </w:r>
          </w:p>
        </w:tc>
        <w:tc>
          <w:tcPr>
            <w:tcW w:type="dxa" w:w="1296"/>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NUMERIC</w:t>
            </w:r>
          </w:p>
        </w:tc>
        <w:tc>
          <w:tcPr>
            <w:tcW w:type="dxa" w:w="3701"/>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Ensemble model output (0.0 to 1.0)</w:t>
            </w:r>
          </w:p>
        </w:tc>
      </w:tr>
      <w:tr>
        <w:tc>
          <w:tcPr>
            <w:tcW w:type="dxa" w:w="1872"/>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survival_prediction</w:t>
            </w:r>
          </w:p>
        </w:tc>
        <w:tc>
          <w:tcPr>
            <w:tcW w:type="dxa" w:w="216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risk_level</w:t>
            </w:r>
          </w:p>
        </w:tc>
        <w:tc>
          <w:tcPr>
            <w:tcW w:type="dxa" w:w="1296"/>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VARCHAR</w:t>
            </w:r>
          </w:p>
        </w:tc>
        <w:tc>
          <w:tcPr>
            <w:tcW w:type="dxa" w:w="3701"/>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Risk classification: Safe or High Risk of Failure</w:t>
            </w:r>
          </w:p>
        </w:tc>
      </w:tr>
      <w:tr>
        <w:tc>
          <w:tcPr>
            <w:tcW w:type="dxa" w:w="1872"/>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survival_prediction</w:t>
            </w:r>
          </w:p>
        </w:tc>
        <w:tc>
          <w:tcPr>
            <w:tcW w:type="dxa" w:w="216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created_at</w:t>
            </w:r>
          </w:p>
        </w:tc>
        <w:tc>
          <w:tcPr>
            <w:tcW w:type="dxa" w:w="1296"/>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TIMESTAMP</w:t>
            </w:r>
          </w:p>
        </w:tc>
        <w:tc>
          <w:tcPr>
            <w:tcW w:type="dxa" w:w="3701"/>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Timestamp of prediction generation</w:t>
            </w:r>
          </w:p>
        </w:tc>
      </w:tr>
      <w:tr>
        <w:tc>
          <w:tcPr>
            <w:tcW w:type="dxa" w:w="1872"/>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growth_forecast</w:t>
            </w:r>
          </w:p>
        </w:tc>
        <w:tc>
          <w:tcPr>
            <w:tcW w:type="dxa" w:w="216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forecast_id</w:t>
            </w:r>
          </w:p>
        </w:tc>
        <w:tc>
          <w:tcPr>
            <w:tcW w:type="dxa" w:w="1296"/>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UUID</w:t>
            </w:r>
          </w:p>
        </w:tc>
        <w:tc>
          <w:tcPr>
            <w:tcW w:type="dxa" w:w="3701"/>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Primary key for each growth forecast record</w:t>
            </w:r>
          </w:p>
        </w:tc>
      </w:tr>
      <w:tr>
        <w:tc>
          <w:tcPr>
            <w:tcW w:type="dxa" w:w="1872"/>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growth_forecast</w:t>
            </w:r>
          </w:p>
        </w:tc>
        <w:tc>
          <w:tcPr>
            <w:tcW w:type="dxa" w:w="216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business_id</w:t>
            </w:r>
          </w:p>
        </w:tc>
        <w:tc>
          <w:tcPr>
            <w:tcW w:type="dxa" w:w="1296"/>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UUID</w:t>
            </w:r>
          </w:p>
        </w:tc>
        <w:tc>
          <w:tcPr>
            <w:tcW w:type="dxa" w:w="3701"/>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Foreign key referencing business.business_id</w:t>
            </w:r>
          </w:p>
        </w:tc>
      </w:tr>
      <w:tr>
        <w:tc>
          <w:tcPr>
            <w:tcW w:type="dxa" w:w="1872"/>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growth_forecast</w:t>
            </w:r>
          </w:p>
        </w:tc>
        <w:tc>
          <w:tcPr>
            <w:tcW w:type="dxa" w:w="216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predicted_profit_cfa</w:t>
            </w:r>
          </w:p>
        </w:tc>
        <w:tc>
          <w:tcPr>
            <w:tcW w:type="dxa" w:w="1296"/>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NUMERIC</w:t>
            </w:r>
          </w:p>
        </w:tc>
        <w:tc>
          <w:tcPr>
            <w:tcW w:type="dxa" w:w="3701"/>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XGBoost projected monthly profit in CFA Francs</w:t>
            </w:r>
          </w:p>
        </w:tc>
      </w:tr>
      <w:tr>
        <w:tc>
          <w:tcPr>
            <w:tcW w:type="dxa" w:w="1872"/>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growth_forecast</w:t>
            </w:r>
          </w:p>
        </w:tc>
        <w:tc>
          <w:tcPr>
            <w:tcW w:type="dxa" w:w="216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growth_rate</w:t>
            </w:r>
          </w:p>
        </w:tc>
        <w:tc>
          <w:tcPr>
            <w:tcW w:type="dxa" w:w="1296"/>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NUMERIC</w:t>
            </w:r>
          </w:p>
        </w:tc>
        <w:tc>
          <w:tcPr>
            <w:tcW w:type="dxa" w:w="3701"/>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Calculated ROI-based growth rate</w:t>
            </w:r>
          </w:p>
        </w:tc>
      </w:tr>
      <w:tr>
        <w:tc>
          <w:tcPr>
            <w:tcW w:type="dxa" w:w="1872"/>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growth_forecast</w:t>
            </w:r>
          </w:p>
        </w:tc>
        <w:tc>
          <w:tcPr>
            <w:tcW w:type="dxa" w:w="216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chart_data</w:t>
            </w:r>
          </w:p>
        </w:tc>
        <w:tc>
          <w:tcPr>
            <w:tcW w:type="dxa" w:w="1296"/>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JSONB</w:t>
            </w:r>
          </w:p>
        </w:tc>
        <w:tc>
          <w:tcPr>
            <w:tcW w:type="dxa" w:w="3701"/>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Structured chart data for frontend visualisation</w:t>
            </w:r>
          </w:p>
        </w:tc>
      </w:tr>
      <w:tr>
        <w:tc>
          <w:tcPr>
            <w:tcW w:type="dxa" w:w="1872"/>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growth_forecast</w:t>
            </w:r>
          </w:p>
        </w:tc>
        <w:tc>
          <w:tcPr>
            <w:tcW w:type="dxa" w:w="216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full_report</w:t>
            </w:r>
          </w:p>
        </w:tc>
        <w:tc>
          <w:tcPr>
            <w:tcW w:type="dxa" w:w="1296"/>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JSONB</w:t>
            </w:r>
          </w:p>
        </w:tc>
        <w:tc>
          <w:tcPr>
            <w:tcW w:type="dxa" w:w="3701"/>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Complete LLM-generated advisory report in JSON</w:t>
            </w:r>
          </w:p>
        </w:tc>
      </w:tr>
      <w:tr>
        <w:tc>
          <w:tcPr>
            <w:tcW w:type="dxa" w:w="1872"/>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growth_forecast</w:t>
            </w:r>
          </w:p>
        </w:tc>
        <w:tc>
          <w:tcPr>
            <w:tcW w:type="dxa" w:w="216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created_at</w:t>
            </w:r>
          </w:p>
        </w:tc>
        <w:tc>
          <w:tcPr>
            <w:tcW w:type="dxa" w:w="1296"/>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TIMESTAMP</w:t>
            </w:r>
          </w:p>
        </w:tc>
        <w:tc>
          <w:tcPr>
            <w:tcW w:type="dxa" w:w="3701"/>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Timestamp of forecast generation</w:t>
            </w:r>
          </w:p>
        </w:tc>
      </w:tr>
      <w:tr>
        <w:tc>
          <w:tcPr>
            <w:tcW w:type="dxa" w:w="1872"/>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audit_log</w:t>
            </w:r>
          </w:p>
        </w:tc>
        <w:tc>
          <w:tcPr>
            <w:tcW w:type="dxa" w:w="216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log_id</w:t>
            </w:r>
          </w:p>
        </w:tc>
        <w:tc>
          <w:tcPr>
            <w:tcW w:type="dxa" w:w="1296"/>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UUID</w:t>
            </w:r>
          </w:p>
        </w:tc>
        <w:tc>
          <w:tcPr>
            <w:tcW w:type="dxa" w:w="3701"/>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Primary key for each audit event</w:t>
            </w:r>
          </w:p>
        </w:tc>
      </w:tr>
      <w:tr>
        <w:tc>
          <w:tcPr>
            <w:tcW w:type="dxa" w:w="1872"/>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audit_log</w:t>
            </w:r>
          </w:p>
        </w:tc>
        <w:tc>
          <w:tcPr>
            <w:tcW w:type="dxa" w:w="216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actor_id</w:t>
            </w:r>
          </w:p>
        </w:tc>
        <w:tc>
          <w:tcPr>
            <w:tcW w:type="dxa" w:w="1296"/>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VARCHAR</w:t>
            </w:r>
          </w:p>
        </w:tc>
        <w:tc>
          <w:tcPr>
            <w:tcW w:type="dxa" w:w="3701"/>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ID of the user or system that performed the action</w:t>
            </w:r>
          </w:p>
        </w:tc>
      </w:tr>
      <w:tr>
        <w:tc>
          <w:tcPr>
            <w:tcW w:type="dxa" w:w="1872"/>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audit_log</w:t>
            </w:r>
          </w:p>
        </w:tc>
        <w:tc>
          <w:tcPr>
            <w:tcW w:type="dxa" w:w="216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actor_type</w:t>
            </w:r>
          </w:p>
        </w:tc>
        <w:tc>
          <w:tcPr>
            <w:tcW w:type="dxa" w:w="1296"/>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VARCHAR</w:t>
            </w:r>
          </w:p>
        </w:tc>
        <w:tc>
          <w:tcPr>
            <w:tcW w:type="dxa" w:w="3701"/>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Type of actor: sme, admin, or system</w:t>
            </w:r>
          </w:p>
        </w:tc>
      </w:tr>
      <w:tr>
        <w:tc>
          <w:tcPr>
            <w:tcW w:type="dxa" w:w="1872"/>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audit_log</w:t>
            </w:r>
          </w:p>
        </w:tc>
        <w:tc>
          <w:tcPr>
            <w:tcW w:type="dxa" w:w="216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action_type</w:t>
            </w:r>
          </w:p>
        </w:tc>
        <w:tc>
          <w:tcPr>
            <w:tcW w:type="dxa" w:w="1296"/>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VARCHAR</w:t>
            </w:r>
          </w:p>
        </w:tc>
        <w:tc>
          <w:tcPr>
            <w:tcW w:type="dxa" w:w="3701"/>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Type of action performed</w:t>
            </w:r>
          </w:p>
        </w:tc>
      </w:tr>
      <w:tr>
        <w:tc>
          <w:tcPr>
            <w:tcW w:type="dxa" w:w="1872"/>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audit_log</w:t>
            </w:r>
          </w:p>
        </w:tc>
        <w:tc>
          <w:tcPr>
            <w:tcW w:type="dxa" w:w="216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description</w:t>
            </w:r>
          </w:p>
        </w:tc>
        <w:tc>
          <w:tcPr>
            <w:tcW w:type="dxa" w:w="1296"/>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TEXT</w:t>
            </w:r>
          </w:p>
        </w:tc>
        <w:tc>
          <w:tcPr>
            <w:tcW w:type="dxa" w:w="3701"/>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Descriptive text of the logged event</w:t>
            </w:r>
          </w:p>
        </w:tc>
      </w:tr>
      <w:tr>
        <w:tc>
          <w:tcPr>
            <w:tcW w:type="dxa" w:w="1872"/>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audit_log</w:t>
            </w:r>
          </w:p>
        </w:tc>
        <w:tc>
          <w:tcPr>
            <w:tcW w:type="dxa" w:w="216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created_at</w:t>
            </w:r>
          </w:p>
        </w:tc>
        <w:tc>
          <w:tcPr>
            <w:tcW w:type="dxa" w:w="1296"/>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TIMESTAMP</w:t>
            </w:r>
          </w:p>
        </w:tc>
        <w:tc>
          <w:tcPr>
            <w:tcW w:type="dxa" w:w="3701"/>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Timestamp of the audit event</w:t>
            </w:r>
          </w:p>
        </w:tc>
      </w:tr>
    </w:tbl>
    <w:p>
      <w:pPr>
        <w:spacing w:after="80"/>
      </w:pPr>
    </w:p>
    <w:sectPr w:rsidR="00FC693F" w:rsidRPr="0006063C" w:rsidSect="00034616">
      <w:head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fldChar w:fldCharType="begin"/>
      <w:instrText>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