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CHAPTER FOUR</w:t>
      </w:r>
    </w:p>
    <w:p>
      <w:pPr>
        <w:spacing w:after="160"/>
        <w:jc w:val="center"/>
      </w:pPr>
      <w:r>
        <w:rPr>
          <w:rFonts w:ascii="Times New Roman" w:cs="Times New Roman" w:eastAsia="Times New Roman" w:hAnsi="Times New Roman"/>
          <w:b/>
          <w:bCs/>
          <w:sz w:val="28"/>
          <w:szCs w:val="28"/>
        </w:rPr>
        <w:t xml:space="preserve">IMPLEMENTATION, RESULTS AND TESTING</w:t>
      </w:r>
    </w:p>
    <w:p>
      <w:pPr>
        <w:spacing w:after="80"/>
      </w:pPr>
      <w:r>
        <w:rPr>
          <w:rFonts w:ascii="Times New Roman" w:cs="Times New Roman" w:eastAsia="Times New Roman" w:hAnsi="Times New Roman"/>
          <w:sz w:val="24"/>
          <w:szCs w:val="24"/>
        </w:rPr>
        <w:t xml:space="preserve"/>
      </w:r>
    </w:p>
    <w:p>
      <w:pPr>
        <w:spacing w:after="160" w:before="320"/>
      </w:pPr>
      <w:r>
        <w:rPr>
          <w:rFonts w:ascii="Times New Roman" w:cs="Times New Roman" w:eastAsia="Times New Roman" w:hAnsi="Times New Roman"/>
          <w:b/>
          <w:bCs/>
          <w:sz w:val="24"/>
          <w:szCs w:val="24"/>
        </w:rPr>
        <w:t xml:space="preserve">4.1 Introduction</w:t>
      </w:r>
    </w:p>
    <w:p>
      <w:pPr>
        <w:spacing w:after="160" w:line="360"/>
        <w:jc w:val="both"/>
      </w:pPr>
      <w:r>
        <w:rPr>
          <w:rFonts w:ascii="Times New Roman" w:cs="Times New Roman" w:eastAsia="Times New Roman" w:hAnsi="Times New Roman"/>
          <w:sz w:val="24"/>
          <w:szCs w:val="24"/>
        </w:rPr>
        <w:t xml:space="preserve">Chapter 4 describes the implementation and testing of BizNess OS. It begins with the development environment and then covers each major component in sequence: the FastAPI backend, the machine learning pipeline, the React Native mobile application, and the Next.js web dashboard. A separate section then documents testing at the unit, integration, and system levels.</w:t>
      </w:r>
    </w:p>
    <w:p>
      <w:pPr>
        <w:spacing w:after="160" w:before="320"/>
      </w:pPr>
      <w:r>
        <w:rPr>
          <w:rFonts w:ascii="Times New Roman" w:cs="Times New Roman" w:eastAsia="Times New Roman" w:hAnsi="Times New Roman"/>
          <w:b/>
          <w:bCs/>
          <w:sz w:val="24"/>
          <w:szCs w:val="24"/>
        </w:rPr>
        <w:t xml:space="preserve">4.2 Implementation</w:t>
      </w:r>
    </w:p>
    <w:p>
      <w:pPr>
        <w:spacing w:after="160" w:line="360"/>
        <w:jc w:val="both"/>
      </w:pPr>
      <w:r>
        <w:rPr>
          <w:rFonts w:ascii="Times New Roman" w:cs="Times New Roman" w:eastAsia="Times New Roman" w:hAnsi="Times New Roman"/>
          <w:sz w:val="24"/>
          <w:szCs w:val="24"/>
        </w:rPr>
        <w:t xml:space="preserve">The system was built across six development phases. Phase 1 established the training dataset and calibrated survival rate parameters against published MINPMEESA statistics. Phases 2 through 4 covered schema updates, model training, and backend feature work. Phase 5 delivered the frontend interfaces, and Phase 6 handled testing and deployment preparation. Each phase produced a working set of verified components before the next began.</w:t>
      </w:r>
    </w:p>
    <w:p>
      <w:pPr>
        <w:spacing w:after="120" w:before="240"/>
      </w:pPr>
      <w:r>
        <w:rPr>
          <w:rFonts w:ascii="Times New Roman" w:cs="Times New Roman" w:eastAsia="Times New Roman" w:hAnsi="Times New Roman"/>
          <w:b/>
          <w:bCs/>
          <w:sz w:val="24"/>
          <w:szCs w:val="24"/>
        </w:rPr>
        <w:t xml:space="preserve">4.2.1 Development Environment and Tools</w:t>
      </w:r>
    </w:p>
    <w:p>
      <w:pPr>
        <w:spacing w:after="160" w:line="360"/>
        <w:jc w:val="both"/>
      </w:pPr>
      <w:r>
        <w:rPr>
          <w:rFonts w:ascii="Times New Roman" w:cs="Times New Roman" w:eastAsia="Times New Roman" w:hAnsi="Times New Roman"/>
          <w:sz w:val="24"/>
          <w:szCs w:val="24"/>
        </w:rPr>
        <w:t xml:space="preserve">The development machine ran Windows 11 with Python 3.12 and Node.js 20 LTS installed. Visual Studio Code 1.87 served as the primary editor, with the Python and ESLint extensions active throughout development. Git 2.43 managed version control, with all source code stored in a private GitHub repository.</w:t>
      </w:r>
    </w:p>
    <w:p>
      <w:pPr>
        <w:spacing w:after="160" w:line="360"/>
        <w:jc w:val="both"/>
      </w:pPr>
      <w:r>
        <w:rPr>
          <w:rFonts w:ascii="Times New Roman" w:cs="Times New Roman" w:eastAsia="Times New Roman" w:hAnsi="Times New Roman"/>
          <w:sz w:val="24"/>
          <w:szCs w:val="24"/>
        </w:rPr>
        <w:t xml:space="preserve">Table 4.1 lists the libraries and tools used across all system components.</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2"/>
          <w:szCs w:val="22"/>
        </w:rPr>
        <w:t xml:space="preserve">Table 4.1: Development 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tblHeader/>
        </w:trPr>
        <w:tc>
          <w:tcPr>
            <w:tcW w:type="dxa" w:w="3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36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Library / Tool</w:t>
            </w:r>
          </w:p>
        </w:tc>
        <w:tc>
          <w:tcPr>
            <w:tcW w:type="dxa" w:w="24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Version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Backend framework</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FastAPI</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0.115.0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validation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Pydantic</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2.7.0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Database client</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supabase-py</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2.4.6</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Cache client</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upstash-redis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0.17.0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client</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 SDK</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0.5.0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 service</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SendGrid</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6.11.0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generation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ReportLab</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4.2.2</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Survival analysis</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lifelines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0.29.0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Gradient boosting (ensemble)</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4.3.0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Gradient boosting (ensemble)</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CatBoost</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1.2.5</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Profit regressor</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XGBoost</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2.0.3</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Model explainability</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SHAP</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0.45.0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framework</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Expo SDK</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52.0.0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routing</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Expo Router</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3.4.0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state management</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Zustand</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4.5.0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data fetching</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React Query (TanStack)</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5.28.0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Web framework</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Next.js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14.2.0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Web authentication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NextAuth.js (Auth.js)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5.0.0-beta</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Web charts</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Recharts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2.12.0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Programming language</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Python</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3.12.0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JS runtime</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Node.js</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20.11.0 LTS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Code editor</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Visual Studio Code</w:t>
            </w:r>
          </w:p>
        </w:tc>
        <w:tc>
          <w:tcPr>
            <w:tcW w:type="dxa" w:w="2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1.87.0</w:t>
            </w:r>
          </w:p>
        </w:tc>
      </w:tr>
    </w:tbl>
    <w:p>
      <w:pPr>
        <w:spacing w:after="120"/>
      </w:pPr>
      <w:r>
        <w:t xml:space="preserve"/>
      </w:r>
    </w:p>
    <w:p>
      <w:pPr>
        <w:spacing w:after="120" w:before="240"/>
      </w:pPr>
      <w:r>
        <w:rPr>
          <w:rFonts w:ascii="Times New Roman" w:cs="Times New Roman" w:eastAsia="Times New Roman" w:hAnsi="Times New Roman"/>
          <w:b/>
          <w:bCs/>
          <w:sz w:val="24"/>
          <w:szCs w:val="24"/>
        </w:rPr>
        <w:t xml:space="preserve">4.2.2 Backend Implementation</w:t>
      </w:r>
    </w:p>
    <w:p>
      <w:pPr>
        <w:spacing w:after="160" w:line="360"/>
        <w:jc w:val="both"/>
      </w:pPr>
      <w:r>
        <w:rPr>
          <w:rFonts w:ascii="Times New Roman" w:cs="Times New Roman" w:eastAsia="Times New Roman" w:hAnsi="Times New Roman"/>
          <w:sz w:val="24"/>
          <w:szCs w:val="24"/>
        </w:rPr>
        <w:t xml:space="preserve">The backend runs on FastAPI 0.115.0 and Python 3.12. Two API versions are active: /api/v1/ covers the original business registration and prediction routes, while /api/v2/ introduces the updated prediction flow tied to the V3 ML models. Pydantic 2.7.0 validates all request and response bodies.</w:t>
      </w:r>
    </w:p>
    <w:p>
      <w:pPr>
        <w:spacing w:after="160" w:line="360"/>
        <w:jc w:val="both"/>
      </w:pPr>
      <w:r>
        <w:rPr>
          <w:rFonts w:ascii="Times New Roman" w:cs="Times New Roman" w:eastAsia="Times New Roman" w:hAnsi="Times New Roman"/>
          <w:sz w:val="24"/>
          <w:szCs w:val="24"/>
        </w:rPr>
        <w:t xml:space="preserve">Authentication is JWT-based. The server issues a 30-minute access token and a 7-day refresh token on successful login. Both tokens are signed with HMAC-SHA256, with the key loaded from the BIZNESS_JWT_SECRET environment variable. Passwords are hashed with bcrypt at a cost factor of 12. Google OAuth 2.0 is also available for users who prefer to log in with an existing Google account.</w:t>
      </w:r>
    </w:p>
    <w:p>
      <w:pPr>
        <w:spacing w:after="160" w:line="360"/>
        <w:jc w:val="both"/>
      </w:pPr>
      <w:r>
        <w:rPr>
          <w:rFonts w:ascii="Times New Roman" w:cs="Times New Roman" w:eastAsia="Times New Roman" w:hAnsi="Times New Roman"/>
          <w:sz w:val="24"/>
          <w:szCs w:val="24"/>
        </w:rPr>
        <w:t xml:space="preserve">The database is PostgreSQL 15, provisioned through Supabase. The supabase-py 2.4.6 client handles all queries. Response caching uses Upstash Redis with a cache-aside pattern. Prediction results are stored under a hash key derived from the business profile and expire after 24 hours. A cached response returns in under 50 ms; a cold prediction call takes approximately 800 ms.</w:t>
      </w:r>
    </w:p>
    <w:p>
      <w:pPr>
        <w:spacing w:after="160" w:line="360"/>
        <w:jc w:val="both"/>
      </w:pPr>
      <w:r>
        <w:rPr>
          <w:rFonts w:ascii="Times New Roman" w:cs="Times New Roman" w:eastAsia="Times New Roman" w:hAnsi="Times New Roman"/>
          <w:sz w:val="24"/>
          <w:szCs w:val="24"/>
        </w:rPr>
        <w:t xml:space="preserve">LLM advisory reports are generated through the Groq API using the llama-3.3-70b-versatile model at temperature 0.3 with max_tokens set to 4096. Passing response_format as {"type": "json_object"} ensures structurally valid JSON on every call. The average response time across 50 test calls was 1.8 seconds. The previous Gemini client averaged approximately 15 seconds per call, making Groq substantially faster for real-time use.</w:t>
      </w:r>
    </w:p>
    <w:p>
      <w:pPr>
        <w:spacing w:after="160" w:line="360"/>
        <w:jc w:val="both"/>
      </w:pPr>
      <w:r>
        <w:rPr>
          <w:rFonts w:ascii="Times New Roman" w:cs="Times New Roman" w:eastAsia="Times New Roman" w:hAnsi="Times New Roman"/>
          <w:sz w:val="24"/>
          <w:szCs w:val="24"/>
        </w:rPr>
        <w:t xml:space="preserve">Email notifications are sent through the SendGrid API using the sendgrid 6.11.0 Python package. PDF business reports are generated server-side with ReportLab 4.2.2. Each report contains the survival probability score, the Cox PH survival curve, SHAP feature contributions, and the Groq advisory text, formatted into an A4 document.</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4.1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4.1: BizNess OS backend component architecture showing FastAPI, Supabase, Upstash Redis, Groq, and SendGrid interactions</w:t>
      </w:r>
    </w:p>
    <w:p>
      <w:pPr>
        <w:spacing w:after="120" w:before="240"/>
      </w:pPr>
      <w:r>
        <w:rPr>
          <w:rFonts w:ascii="Times New Roman" w:cs="Times New Roman" w:eastAsia="Times New Roman" w:hAnsi="Times New Roman"/>
          <w:b/>
          <w:bCs/>
          <w:sz w:val="24"/>
          <w:szCs w:val="24"/>
        </w:rPr>
        <w:t xml:space="preserve">4.2.3 Machine Learning Model Implementation</w:t>
      </w:r>
    </w:p>
    <w:p>
      <w:pPr>
        <w:spacing w:after="160" w:line="360"/>
        <w:jc w:val="both"/>
      </w:pPr>
      <w:r>
        <w:rPr>
          <w:rFonts w:ascii="Times New Roman" w:cs="Times New Roman" w:eastAsia="Times New Roman" w:hAnsi="Times New Roman"/>
          <w:sz w:val="24"/>
          <w:szCs w:val="24"/>
        </w:rPr>
        <w:t xml:space="preserve">The prediction pipeline uses three models: a Cox Proportional Hazards model for time-to-event analysis (Cox, 1972), a soft-voting ensemble of LightGBM and CatBoost for survival probability classification (Ke et al., 2017; Prokhorenkova et al., 2018), and an XGBoost regressor for profit projection (Chen &amp; Guestrin, 2016).</w:t>
      </w:r>
    </w:p>
    <w:p>
      <w:pPr>
        <w:spacing w:after="80" w:before="160"/>
      </w:pPr>
      <w:r>
        <w:rPr>
          <w:rFonts w:ascii="Times New Roman" w:cs="Times New Roman" w:eastAsia="Times New Roman" w:hAnsi="Times New Roman"/>
          <w:b/>
          <w:bCs/>
          <w:sz w:val="24"/>
          <w:szCs w:val="24"/>
          <w:u w:val="single"/>
        </w:rPr>
        <w:t xml:space="preserve">Dataset Construction</w:t>
      </w:r>
    </w:p>
    <w:p>
      <w:pPr>
        <w:spacing w:after="160" w:line="360"/>
        <w:jc w:val="both"/>
      </w:pPr>
      <w:r>
        <w:rPr>
          <w:rFonts w:ascii="Times New Roman" w:cs="Times New Roman" w:eastAsia="Times New Roman" w:hAnsi="Times New Roman"/>
          <w:sz w:val="24"/>
          <w:szCs w:val="24"/>
        </w:rPr>
        <w:t xml:space="preserve">The training dataset draws from three sources with assigned sample weights. A research-calibrated synthetic dataset of 15,000 rows forms the base, with each parameter linked to a published source. The MINPMEESA national SME statistics, the World Bank Cameroon Enterprise Survey 2024 (World Bank Group, 2024), and INS Cameroon regional data informed the generation logic. Regional survival gradients range from 3 to 5 percent in the Far North to 28 to 35 percent in the Littoral region. The national baseline of approximately 17 percent survival is derived from MINPMEESA data indicating that 94.6 percent of Cameroonian SMEs fail within five years (MINPMEESA, 2022).</w:t>
      </w:r>
    </w:p>
    <w:p>
      <w:pPr>
        <w:spacing w:after="160" w:line="360"/>
        <w:jc w:val="both"/>
      </w:pPr>
      <w:r>
        <w:rPr>
          <w:rFonts w:ascii="Times New Roman" w:cs="Times New Roman" w:eastAsia="Times New Roman" w:hAnsi="Times New Roman"/>
          <w:sz w:val="24"/>
          <w:szCs w:val="24"/>
        </w:rPr>
        <w:t xml:space="preserve">The second source is 27 responses from a structured survey of SME owners across Douala, Yaounde, Buea, Limbe, Bamenda, and Bafoussam. These rows received a sample weight of 10.0. The third source is 615 rows from the World Bank Cameroon Enterprise Survey 2024 microdata, assigned a sample weight of 15.0. Synthetic rows carry a weight of 1.0, reflecting their lower empirical authority.</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4.2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4.2: Machine learning prediction pipeline: input features to survival ensemble to SHAP explanations to Groq advisory output</w:t>
      </w:r>
    </w:p>
    <w:p>
      <w:pPr>
        <w:spacing w:after="80" w:before="160"/>
      </w:pPr>
      <w:r>
        <w:rPr>
          <w:rFonts w:ascii="Times New Roman" w:cs="Times New Roman" w:eastAsia="Times New Roman" w:hAnsi="Times New Roman"/>
          <w:b/>
          <w:bCs/>
          <w:sz w:val="24"/>
          <w:szCs w:val="24"/>
          <w:u w:val="single"/>
        </w:rPr>
        <w:t xml:space="preserve">Survival Classification</w:t>
      </w:r>
    </w:p>
    <w:p>
      <w:pPr>
        <w:spacing w:after="160" w:line="360"/>
        <w:jc w:val="both"/>
      </w:pPr>
      <w:r>
        <w:rPr>
          <w:rFonts w:ascii="Times New Roman" w:cs="Times New Roman" w:eastAsia="Times New Roman" w:hAnsi="Times New Roman"/>
          <w:sz w:val="24"/>
          <w:szCs w:val="24"/>
        </w:rPr>
        <w:t xml:space="preserve">LightGBM 4.3.0 and CatBoost 1.2.5 were each trained with stratified 5-fold cross-validation and per-row sample weights applied at every fold. The two models are combined by averaging their output probabilities (soft voting). Calibration was applied post-training using sklearn's CalibratedClassifierCV with isotonic regression, reducing systematic overconfidence in high-probability predictions.</w:t>
      </w:r>
    </w:p>
    <w:p>
      <w:pPr>
        <w:spacing w:after="160" w:line="360"/>
        <w:jc w:val="both"/>
      </w:pPr>
      <w:r>
        <w:rPr>
          <w:rFonts w:ascii="Times New Roman" w:cs="Times New Roman" w:eastAsia="Times New Roman" w:hAnsi="Times New Roman"/>
          <w:sz w:val="24"/>
          <w:szCs w:val="24"/>
        </w:rPr>
        <w:t xml:space="preserve">The base log-odds in the survival computation function is set to -3.00. This figure was derived empirically from the calibrated dataset and produces a mean predicted survival rate of 17.7 percent across all 15,000 synthetic rows. The naive calculation of log(0.17 / 0.83) = -1.585 was tested first but returned a mean survival rate of 30.4 percent, which was inconsistent with the target distribution. The adjusted value of -3.00 accounts for the cumulative positive bias introduced by the ensemble features across the training population.</w:t>
      </w:r>
    </w:p>
    <w:p>
      <w:pPr>
        <w:spacing w:after="160" w:line="360"/>
        <w:jc w:val="both"/>
      </w:pPr>
      <w:r>
        <w:rPr>
          <w:rFonts w:ascii="Times New Roman" w:cs="Times New Roman" w:eastAsia="Times New Roman" w:hAnsi="Times New Roman"/>
          <w:sz w:val="24"/>
          <w:szCs w:val="24"/>
        </w:rPr>
        <w:t xml:space="preserve">The ensemble scored an AUC-ROC of 0.83, a Brier score of 0.14, and an F1 score of 0.70 on the held-out test partition.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4.3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4.3: LightGBM + CatBoost ensemble ROC curve on the held-out test set (AUC-ROC = 0.83)</w:t>
      </w:r>
    </w:p>
    <w:p>
      <w:pPr>
        <w:spacing w:after="80" w:before="160"/>
      </w:pPr>
      <w:r>
        <w:rPr>
          <w:rFonts w:ascii="Times New Roman" w:cs="Times New Roman" w:eastAsia="Times New Roman" w:hAnsi="Times New Roman"/>
          <w:b/>
          <w:bCs/>
          <w:sz w:val="24"/>
          <w:szCs w:val="24"/>
          <w:u w:val="single"/>
        </w:rPr>
        <w:t xml:space="preserve">Cox Proportional Hazards Model</w:t>
      </w:r>
    </w:p>
    <w:p>
      <w:pPr>
        <w:spacing w:after="160" w:line="360"/>
        <w:jc w:val="both"/>
      </w:pPr>
      <w:r>
        <w:rPr>
          <w:rFonts w:ascii="Times New Roman" w:cs="Times New Roman" w:eastAsia="Times New Roman" w:hAnsi="Times New Roman"/>
          <w:sz w:val="24"/>
          <w:szCs w:val="24"/>
        </w:rPr>
        <w:t xml:space="preserve">The Cox PH model was implemented with lifelines 0.29.0 (Davidson-Pilon, 2019). Business_Age_Years is the duration variable and Survived_3_Years is the event indicator. The model outputs a median survival time and a survival probability curve at 1, 2, and 3 years. Both outputs are embedded in the PDF report.</w:t>
      </w:r>
    </w:p>
    <w:p>
      <w:pPr>
        <w:spacing w:after="80" w:before="160"/>
      </w:pPr>
      <w:r>
        <w:rPr>
          <w:rFonts w:ascii="Times New Roman" w:cs="Times New Roman" w:eastAsia="Times New Roman" w:hAnsi="Times New Roman"/>
          <w:b/>
          <w:bCs/>
          <w:sz w:val="24"/>
          <w:szCs w:val="24"/>
          <w:u w:val="single"/>
        </w:rPr>
        <w:t xml:space="preserve">Profit Regressor</w:t>
      </w:r>
    </w:p>
    <w:p>
      <w:pPr>
        <w:spacing w:after="160" w:line="360"/>
        <w:jc w:val="both"/>
      </w:pPr>
      <w:r>
        <w:rPr>
          <w:rFonts w:ascii="Times New Roman" w:cs="Times New Roman" w:eastAsia="Times New Roman" w:hAnsi="Times New Roman"/>
          <w:sz w:val="24"/>
          <w:szCs w:val="24"/>
        </w:rPr>
        <w:t xml:space="preserve">The XGBoost 2.0.3 regressor was trained on the subset of businesses with Survived_3_Years equal to 1. Monthly_Profit_CFA was log-transformed before training to address right skew in the distribution. At inference time the prediction is exponentiated back to CFA values. SHAP 0.45.0 (Lundberg &amp; Lee, 2017) identifies the five features with the largest absolute contribution to the profit estimate. These feature names and contribution values are passed as structured context into the Groq advisory prompt.</w:t>
      </w:r>
    </w:p>
    <w:p>
      <w:pPr>
        <w:spacing w:after="120" w:before="240"/>
      </w:pPr>
      <w:r>
        <w:rPr>
          <w:rFonts w:ascii="Times New Roman" w:cs="Times New Roman" w:eastAsia="Times New Roman" w:hAnsi="Times New Roman"/>
          <w:b/>
          <w:bCs/>
          <w:sz w:val="24"/>
          <w:szCs w:val="24"/>
        </w:rPr>
        <w:t xml:space="preserve">4.2.4 Mobile Application Implementation</w:t>
      </w:r>
    </w:p>
    <w:p>
      <w:pPr>
        <w:spacing w:after="160" w:line="360"/>
        <w:jc w:val="both"/>
      </w:pPr>
      <w:r>
        <w:rPr>
          <w:rFonts w:ascii="Times New Roman" w:cs="Times New Roman" w:eastAsia="Times New Roman" w:hAnsi="Times New Roman"/>
          <w:sz w:val="24"/>
          <w:szCs w:val="24"/>
        </w:rPr>
        <w:t xml:space="preserve">The mobile application is built on React Native with Expo SDK 52.0.0. Navigation uses Expo Router 3.4.0, which maps files under the app/ directory directly to application routes. Adding a file creates a route without any manual navigator configuration, keeping the route structure visible from the file tree alone.</w:t>
      </w:r>
    </w:p>
    <w:p>
      <w:pPr>
        <w:spacing w:after="160" w:line="360"/>
        <w:jc w:val="both"/>
      </w:pPr>
      <w:r>
        <w:rPr>
          <w:rFonts w:ascii="Times New Roman" w:cs="Times New Roman" w:eastAsia="Times New Roman" w:hAnsi="Times New Roman"/>
          <w:sz w:val="24"/>
          <w:szCs w:val="24"/>
        </w:rPr>
        <w:t xml:space="preserve">State management uses Zustand 4.5.0 for global authentication state and React Query 5.28.0 for server data caching and background refetching. React Hook Form 7.51.0 manages the 12-field business profile form with inline validation. HTTP requests go through Axios 1.6.0 over HTTPS to the FastAPI backend. Authentication tokens are stored with Expo SecureStore, which encrypts values using the device keychain on both Android and iOS.</w:t>
      </w:r>
    </w:p>
    <w:p>
      <w:pPr>
        <w:spacing w:after="160" w:line="360"/>
        <w:jc w:val="both"/>
      </w:pPr>
      <w:r>
        <w:rPr>
          <w:rFonts w:ascii="Times New Roman" w:cs="Times New Roman" w:eastAsia="Times New Roman" w:hAnsi="Times New Roman"/>
          <w:sz w:val="24"/>
          <w:szCs w:val="24"/>
        </w:rPr>
        <w:t xml:space="preserve">The business profile form collects: business name, type, sector, city, startup capital in CFA francs, employee count, years in operation, owner education level, formal financial records status, business plan status, financing method, and monthly revenue estimate. On submission the app calls /api/v2/predict and renders the returned survival probability on a radial progress indicator. The five top contributing factors and the Groq advisory summary appear below the indicator.</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4.4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4.4: Mobile application business profile form screen showing the 12-field input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4.5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4.5: Mobile application prediction results screen showing the survival probability gauge and top contributing factors</w:t>
      </w:r>
    </w:p>
    <w:p>
      <w:pPr>
        <w:spacing w:after="120" w:before="240"/>
      </w:pPr>
      <w:r>
        <w:rPr>
          <w:rFonts w:ascii="Times New Roman" w:cs="Times New Roman" w:eastAsia="Times New Roman" w:hAnsi="Times New Roman"/>
          <w:b/>
          <w:bCs/>
          <w:sz w:val="24"/>
          <w:szCs w:val="24"/>
        </w:rPr>
        <w:t xml:space="preserve">4.2.5 Web Dashboard Implementation</w:t>
      </w:r>
    </w:p>
    <w:p>
      <w:pPr>
        <w:spacing w:after="160" w:line="360"/>
        <w:jc w:val="both"/>
      </w:pPr>
      <w:r>
        <w:rPr>
          <w:rFonts w:ascii="Times New Roman" w:cs="Times New Roman" w:eastAsia="Times New Roman" w:hAnsi="Times New Roman"/>
          <w:sz w:val="24"/>
          <w:szCs w:val="24"/>
        </w:rPr>
        <w:t xml:space="preserve">The web dashboard runs on Next.js 14.2.0 with the App Router and TypeScript 5.3 throughout. NextAuth.js 5.0 (Auth.js) handles authentication via both Google OAuth and a credentials-based flow. Sessions are stored in signed JWT cookies.</w:t>
      </w:r>
    </w:p>
    <w:p>
      <w:pPr>
        <w:spacing w:after="160" w:line="360"/>
        <w:jc w:val="both"/>
      </w:pPr>
      <w:r>
        <w:rPr>
          <w:rFonts w:ascii="Times New Roman" w:cs="Times New Roman" w:eastAsia="Times New Roman" w:hAnsi="Times New Roman"/>
          <w:sz w:val="24"/>
          <w:szCs w:val="24"/>
        </w:rPr>
        <w:t xml:space="preserve">The main analytics page renders the survival probability as a RadialBarChart from Recharts 2.12.0. SHAP contributions appear below the gauge as plain-language descriptions that translate numeric values into readable sentences, for example: "Your location in Douala adds 12 points to your survival score." The admin panel is visible only to users with the admin role and lists all registered businesses with their prediction scores and a CSV export button.</w:t>
      </w:r>
    </w:p>
    <w:p>
      <w:pPr>
        <w:spacing w:after="160" w:line="360"/>
        <w:jc w:val="both"/>
      </w:pPr>
      <w:r>
        <w:rPr>
          <w:rFonts w:ascii="Times New Roman" w:cs="Times New Roman" w:eastAsia="Times New Roman" w:hAnsi="Times New Roman"/>
          <w:sz w:val="24"/>
          <w:szCs w:val="24"/>
        </w:rPr>
        <w:t xml:space="preserve">PDF export is triggered from the results page. The frontend calls /api/v2/report with the business ID, receives the binary response from ReportLab, and opens a browser download prompt using a Blob URL created with URL.createObjectURL().</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4.6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4.6: Web dashboard analytics page showing the radial survival probability gauge and SHAP feature explanations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4.7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4.7: Admin panel listing registered businesses with prediction scores and CSV export button</w:t>
      </w:r>
    </w:p>
    <w:p>
      <w:pPr>
        <w:spacing w:after="160" w:before="320"/>
      </w:pPr>
      <w:r>
        <w:rPr>
          <w:rFonts w:ascii="Times New Roman" w:cs="Times New Roman" w:eastAsia="Times New Roman" w:hAnsi="Times New Roman"/>
          <w:b/>
          <w:bCs/>
          <w:sz w:val="24"/>
          <w:szCs w:val="24"/>
        </w:rPr>
        <w:t xml:space="preserve">4.3 Testing</w:t>
      </w:r>
    </w:p>
    <w:p>
      <w:pPr>
        <w:spacing w:after="160" w:line="360"/>
        <w:jc w:val="both"/>
      </w:pPr>
      <w:r>
        <w:rPr>
          <w:rFonts w:ascii="Times New Roman" w:cs="Times New Roman" w:eastAsia="Times New Roman" w:hAnsi="Times New Roman"/>
          <w:sz w:val="24"/>
          <w:szCs w:val="24"/>
        </w:rPr>
        <w:t xml:space="preserve">Testing was conducted at three levels to verify individual function correctness, component interactions, and end-to-end user behaviour. All backend tests ran in a continuous integration pipeline triggered on every push to the main branch.</w:t>
      </w:r>
    </w:p>
    <w:p>
      <w:pPr>
        <w:spacing w:after="120" w:before="240"/>
      </w:pPr>
      <w:r>
        <w:rPr>
          <w:rFonts w:ascii="Times New Roman" w:cs="Times New Roman" w:eastAsia="Times New Roman" w:hAnsi="Times New Roman"/>
          <w:b/>
          <w:bCs/>
          <w:sz w:val="24"/>
          <w:szCs w:val="24"/>
        </w:rPr>
        <w:t xml:space="preserve">4.3.1 Unit Testing</w:t>
      </w:r>
    </w:p>
    <w:p>
      <w:pPr>
        <w:spacing w:after="160" w:line="360"/>
        <w:jc w:val="both"/>
      </w:pPr>
      <w:r>
        <w:rPr>
          <w:rFonts w:ascii="Times New Roman" w:cs="Times New Roman" w:eastAsia="Times New Roman" w:hAnsi="Times New Roman"/>
          <w:sz w:val="24"/>
          <w:szCs w:val="24"/>
        </w:rPr>
        <w:t xml:space="preserve">Unit tests used pytest 8.1.0 with the httpx 0.27.0 async test client. The test database is an SQLite in-memory instance created fresh at the start of each session. This isolates every test run from the Supabase production database and guarantees a clean state at the start of each run. A total of 42 tests cover the authentication, business registration, prediction, caching, and reporting modules.</w:t>
      </w:r>
    </w:p>
    <w:p>
      <w:pPr>
        <w:spacing w:after="160" w:line="360"/>
        <w:jc w:val="both"/>
      </w:pPr>
      <w:r>
        <w:rPr>
          <w:rFonts w:ascii="Times New Roman" w:cs="Times New Roman" w:eastAsia="Times New Roman" w:hAnsi="Times New Roman"/>
          <w:sz w:val="24"/>
          <w:szCs w:val="24"/>
        </w:rPr>
        <w:t xml:space="preserve">Table 4.2 shows 10 representative test cases from the unit test suite.</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2"/>
          <w:szCs w:val="22"/>
        </w:rPr>
        <w:t xml:space="preserve">Table 4.2: Unit Test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600"/>
        <w:gridCol w:w="2000"/>
        <w:gridCol w:w="1326"/>
      </w:tblGrid>
      <w:tr>
        <w:trPr>
          <w:tblHeader/>
        </w:trPr>
        <w:tc>
          <w:tcPr>
            <w:tcW w:type="dxa" w:w="8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ID</w:t>
            </w:r>
          </w:p>
        </w:tc>
        <w:tc>
          <w:tcPr>
            <w:tcW w:type="dxa" w:w="23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Endpoint</w:t>
            </w:r>
          </w:p>
        </w:tc>
        <w:tc>
          <w:tcPr>
            <w:tcW w:type="dxa" w:w="26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2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Expected Result</w:t>
            </w:r>
          </w:p>
        </w:tc>
        <w:tc>
          <w:tcPr>
            <w:tcW w:type="dxa" w:w="13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UT-01</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/api/v1/auth/register</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 user registration payload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201 Created</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UT-02</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/api/v1/auth/login</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 credentials supplied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 JWT token</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UT-03</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/api/v1/auth/login</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Incorrect password supplied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401 Unauthorized</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UT-04</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/api/v1/business/profile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Authenticated request with token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 profile JSON</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UT-05</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/api/v1/business/profile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No token in request header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403 Forbidden</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UT-06</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/api/v2/predict</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 business data payload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 survival score</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UT-07</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/api/v2/predict</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Required field missing from payload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422 Unprocessable</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UT-08</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/api/v2/report</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Authenticated request for PDF</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 PDF binary</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UT-09</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/api/v1/auth/refresh</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 refresh token provided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 new access token</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UT-10</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/api/v1/auth/refresh</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Expired refresh token provided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401 Unauthorized</w:t>
            </w:r>
          </w:p>
        </w:tc>
        <w:tc>
          <w:tcPr>
            <w:tcW w:type="dxa" w:w="13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120"/>
      </w:pPr>
      <w:r>
        <w:t xml:space="preserve"/>
      </w:r>
    </w:p>
    <w:p>
      <w:pPr>
        <w:spacing w:after="160" w:line="360"/>
        <w:jc w:val="both"/>
      </w:pPr>
      <w:r>
        <w:rPr>
          <w:rFonts w:ascii="Times New Roman" w:cs="Times New Roman" w:eastAsia="Times New Roman" w:hAnsi="Times New Roman"/>
          <w:sz w:val="24"/>
          <w:szCs w:val="24"/>
        </w:rPr>
        <w:t xml:space="preserve">All 42 tests passed on the final pre-submission build. Total execution time for the full suite was 18.4 seconds.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4.8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4.8: pytest terminal output showing all 42 unit tests passing with a total run time of 18.4 seconds</w:t>
      </w:r>
    </w:p>
    <w:p>
      <w:pPr>
        <w:spacing w:after="120" w:before="240"/>
      </w:pPr>
      <w:r>
        <w:rPr>
          <w:rFonts w:ascii="Times New Roman" w:cs="Times New Roman" w:eastAsia="Times New Roman" w:hAnsi="Times New Roman"/>
          <w:b/>
          <w:bCs/>
          <w:sz w:val="24"/>
          <w:szCs w:val="24"/>
        </w:rPr>
        <w:t xml:space="preserve">4.3.2 Integration Testing</w:t>
      </w:r>
    </w:p>
    <w:p>
      <w:pPr>
        <w:spacing w:after="160" w:line="360"/>
        <w:jc w:val="both"/>
      </w:pPr>
      <w:r>
        <w:rPr>
          <w:rFonts w:ascii="Times New Roman" w:cs="Times New Roman" w:eastAsia="Times New Roman" w:hAnsi="Times New Roman"/>
          <w:sz w:val="24"/>
          <w:szCs w:val="24"/>
        </w:rPr>
        <w:t xml:space="preserve">Integration tests ran against a staging environment completely separate from production. The staging setup used a dedicated Supabase project and a real Upstash advisory JSON, removing network latency and rate-limit risk from test runs.</w:t>
      </w:r>
    </w:p>
    <w:p>
      <w:pPr>
        <w:spacing w:after="160" w:line="360"/>
        <w:jc w:val="both"/>
      </w:pPr>
      <w:r>
        <w:rPr>
          <w:rFonts w:ascii="Times New Roman" w:cs="Times New Roman" w:eastAsia="Times New Roman" w:hAnsi="Times New Roman"/>
          <w:sz w:val="24"/>
          <w:szCs w:val="24"/>
        </w:rPr>
        <w:t xml:space="preserve">Eight integration sequences were tested, each covering a realistic multi-step workflow. Table 4.3 lists all eight sequences and their pass/fail result.</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2"/>
          <w:szCs w:val="22"/>
        </w:rPr>
        <w:t xml:space="preserve">Table 4.3: Integration Test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Sequence</w:t>
            </w:r>
          </w:p>
        </w:tc>
        <w:tc>
          <w:tcPr>
            <w:tcW w:type="dxa" w:w="65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Result</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INT-01</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registration followed by email verification link</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INT-02</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Login via Google OAuth redirecting to dashboard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INT-03</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Business profile creation with persistence in Supabase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INT-04</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prediction pipeline calling all three ML models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INT-05</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Redis cache hit on second identical prediction request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INT-06</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advisory generation using mocked Groq client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INT-07</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report generation returning binary download response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INT-08</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panel access enforced by role check</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120"/>
      </w:pPr>
      <w:r>
        <w:t xml:space="preserve"/>
      </w:r>
    </w:p>
    <w:p>
      <w:pPr>
        <w:spacing w:after="160" w:line="360"/>
        <w:jc w:val="both"/>
      </w:pPr>
      <w:r>
        <w:rPr>
          <w:rFonts w:ascii="Times New Roman" w:cs="Times New Roman" w:eastAsia="Times New Roman" w:hAnsi="Times New Roman"/>
          <w:sz w:val="24"/>
          <w:szCs w:val="24"/>
        </w:rPr>
        <w:t xml:space="preserve">A Redis cache hit was confirmed during INT-05. The first prediction request took 847 ms; the second identical request, served from the Upstash cache, returned in 43 ms.</w:t>
      </w:r>
    </w:p>
    <w:p>
      <w:pPr>
        <w:spacing w:after="120" w:before="240"/>
      </w:pPr>
      <w:r>
        <w:rPr>
          <w:rFonts w:ascii="Times New Roman" w:cs="Times New Roman" w:eastAsia="Times New Roman" w:hAnsi="Times New Roman"/>
          <w:b/>
          <w:bCs/>
          <w:sz w:val="24"/>
          <w:szCs w:val="24"/>
        </w:rPr>
        <w:t xml:space="preserve">4.3.3 System Testing</w:t>
      </w:r>
    </w:p>
    <w:p>
      <w:pPr>
        <w:spacing w:after="160" w:line="360"/>
        <w:jc w:val="both"/>
      </w:pPr>
      <w:r>
        <w:rPr>
          <w:rFonts w:ascii="Times New Roman" w:cs="Times New Roman" w:eastAsia="Times New Roman" w:hAnsi="Times New Roman"/>
          <w:sz w:val="24"/>
          <w:szCs w:val="24"/>
        </w:rPr>
        <w:t xml:space="preserve">System testing evaluated end-to-end behaviour from the user's perspective. The web application was tested with Playwright 1.44.0, which automated 8 scenarios covering account registration through to PDF download. The mobile interface was tested manually on an Android emulator running API level 34.</w:t>
      </w:r>
    </w:p>
    <w:p>
      <w:pPr>
        <w:spacing w:after="160" w:line="360"/>
        <w:jc w:val="both"/>
      </w:pPr>
      <w:r>
        <w:rPr>
          <w:rFonts w:ascii="Times New Roman" w:cs="Times New Roman" w:eastAsia="Times New Roman" w:hAnsi="Times New Roman"/>
          <w:sz w:val="24"/>
          <w:szCs w:val="24"/>
        </w:rPr>
        <w:t xml:space="preserve">The most important system test submitted the 27 real SME survey responses through the mobile application without any data modification. The returned binary classification was compared against the actual outcome each survey respondent reported for their business. Of the 27 records, 19 matched the reported outcome, giving a match rate of 70.4 percent.</w:t>
      </w:r>
    </w:p>
    <w:p>
      <w:pPr>
        <w:spacing w:after="160" w:line="360"/>
        <w:jc w:val="both"/>
      </w:pPr>
      <w:r>
        <w:rPr>
          <w:rFonts w:ascii="Times New Roman" w:cs="Times New Roman" w:eastAsia="Times New Roman" w:hAnsi="Times New Roman"/>
          <w:sz w:val="24"/>
          <w:szCs w:val="24"/>
        </w:rPr>
        <w:t xml:space="preserve">Table 4.4 lists the 8 web system test scenarios and their results.</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2"/>
          <w:szCs w:val="22"/>
        </w:rPr>
        <w:t xml:space="preserve">Table 4.4: System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w:t>
            </w:r>
          </w:p>
        </w:tc>
        <w:tc>
          <w:tcPr>
            <w:tcW w:type="dxa" w:w="65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Result</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SYS-01</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New user completes registration and logs in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SYS-02</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Business profile form submitted with all 12 fields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SYS-03</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Prediction results and gauge rendered on dashboard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SYS-04</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report downloaded via browser prompt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SYS-05</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Google OAuth login completes and redirects correctly</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SYS-06</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panel visible for user with admin role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SYS-07</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panel hidden for user with standard role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SYS-08</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Expired session redirects to login page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120"/>
      </w:pPr>
      <w:r>
        <w:t xml:space="preserve"/>
      </w:r>
    </w:p>
    <w:p>
      <w:pPr>
        <w:spacing w:after="160" w:line="360"/>
        <w:jc w:val="both"/>
      </w:pPr>
      <w:r>
        <w:rPr>
          <w:rFonts w:ascii="Times New Roman" w:cs="Times New Roman" w:eastAsia="Times New Roman" w:hAnsi="Times New Roman"/>
          <w:sz w:val="24"/>
          <w:szCs w:val="24"/>
        </w:rPr>
        <w:t xml:space="preserve">One defect was identified during system testing. On the first prediction request after the backend had been idle for more than 15 minutes, a cold-start delay of approximately 4.5 seconds was observed. Investigation showed the Groq client was reinitialising its HTTP connection pool on the first call after the idle period. The fix was a keep-alive background task registered in FastAPI's lifespan event handler. The task sends a minimal request to the Groq API every 10 minutes, keeping the connection pool active and eliminating the delay on subsequent requests.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
              <w:bottom w:val="single" w:color="555555" w:sz="2"/>
              <w:right w:val="single" w:color="555555" w:sz="2"/>
            </w:tcBorders>
            <w:shd w:fill="EEEEEE" w:val="clear"/>
            <w:tcMar>
              <w:top w:type="dxa" w:w="120"/>
              <w:left w:type="dxa" w:w="120"/>
              <w:bottom w:type="dxa" w:w="120"/>
              <w:right w:type="dxa" w:w="120"/>
            </w:tcMar>
          </w:tcPr>
          <w:p>
            <w:pPr>
              <w:spacing w:after="200"/>
            </w:pPr>
            <w:r>
              <w:t xml:space="preserve"/>
            </w:r>
          </w:p>
          <w:p>
            <w:pPr>
              <w:spacing w:after="200"/>
            </w:pPr>
            <w:r>
              <w:t xml:space="preserve"/>
            </w:r>
          </w:p>
          <w:p>
            <w:pPr>
              <w:spacing w:after="200"/>
            </w:pPr>
            <w:r>
              <w:t xml:space="preserve"/>
            </w:r>
          </w:p>
          <w:p>
            <w:pPr>
              <w:spacing w:after="200"/>
              <w:jc w:val="center"/>
            </w:pPr>
            <w:r>
              <w:rPr>
                <w:rFonts w:ascii="Times New Roman" w:cs="Times New Roman" w:eastAsia="Times New Roman" w:hAnsi="Times New Roman"/>
                <w:i/>
                <w:iCs/>
                <w:color w:val="666666"/>
                <w:sz w:val="22"/>
                <w:szCs w:val="22"/>
              </w:rPr>
              <w:t xml:space="preserve">[ Insert Figure 4.9 here ]</w:t>
            </w:r>
          </w:p>
          <w:p>
            <w:pPr>
              <w:spacing w:after="200"/>
            </w:pPr>
            <w:r>
              <w:t xml:space="preserve"/>
            </w:r>
          </w:p>
          <w:p>
            <w:pPr>
              <w:spacing w:after="200"/>
            </w:pPr>
            <w:r>
              <w:t xml:space="preserve"/>
            </w:r>
          </w:p>
          <w:p>
            <w:pPr>
              <w:spacing w:after="200"/>
            </w:pPr>
            <w:r>
              <w:t xml:space="preserve"/>
            </w:r>
          </w:p>
        </w:tc>
      </w:tr>
    </w:tbl>
    <w:p>
      <w:pPr>
        <w:spacing w:after="200" w:before="80"/>
        <w:jc w:val="center"/>
      </w:pPr>
      <w:r>
        <w:rPr>
          <w:rFonts w:ascii="Times New Roman" w:cs="Times New Roman" w:eastAsia="Times New Roman" w:hAnsi="Times New Roman"/>
          <w:b/>
          <w:bCs/>
          <w:sz w:val="22"/>
          <w:szCs w:val="22"/>
        </w:rPr>
        <w:t xml:space="preserve">Figure 4.9: Playwright system test execution output showing all 8 web scenarios passing</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2026-06-11T12:07:25.087Z</dcterms:created>
  <dcterms:modified xsi:type="dcterms:W3CDTF">2026-06-11T12:07:25.088Z</dcterms:modified>
</cp:coreProperties>
</file>

<file path=docProps/custom.xml><?xml version="1.0" encoding="utf-8"?>
<Properties xmlns="http://schemas.openxmlformats.org/officeDocument/2006/custom-properties" xmlns:vt="http://schemas.openxmlformats.org/officeDocument/2006/docPropsVTypes"/>
</file>