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Times New Roman" w:hAnsi="Times New Roman"/>
          <w:b/>
          <w:i w:val="0"/>
          <w:sz w:val="28"/>
        </w:rPr>
        <w:t>CHAPTER FOUR</w:t>
      </w:r>
    </w:p>
    <w:p>
      <w:pPr>
        <w:spacing w:before="120" w:after="80"/>
        <w:jc w:val="center"/>
      </w:pPr>
      <w:r>
        <w:rPr>
          <w:rFonts w:ascii="Times New Roman" w:hAnsi="Times New Roman"/>
          <w:b/>
          <w:i w:val="0"/>
          <w:sz w:val="28"/>
        </w:rPr>
        <w:t>IMPLEMENTATION AND TESTING</w:t>
      </w:r>
    </w:p>
    <w:p>
      <w:pPr>
        <w:spacing w:before="280" w:after="120"/>
      </w:pPr>
      <w:r>
        <w:rPr>
          <w:rFonts w:ascii="Times New Roman" w:hAnsi="Times New Roman"/>
          <w:b/>
          <w:i w:val="0"/>
          <w:sz w:val="24"/>
        </w:rPr>
        <w:t>4.1 System Implementation</w:t>
      </w:r>
    </w:p>
    <w:p>
      <w:pPr>
        <w:spacing w:after="120"/>
        <w:ind w:firstLine="720"/>
        <w:jc w:val="both"/>
      </w:pPr>
      <w:r>
        <w:rPr>
          <w:rFonts w:ascii="Times New Roman" w:hAnsi="Times New Roman"/>
          <w:b w:val="0"/>
          <w:i w:val="0"/>
          <w:sz w:val="24"/>
        </w:rPr>
        <w:t>This section describes the implementation of BizNess OS across its four major components: the FastAPI backend, the machine learning prediction pipeline, the React Native mobile application, and the Next.js web dashboard. Implementation proceeded over six Agile sprints, with each sprint delivering a verified set of working components before the next began.</w:t>
      </w:r>
    </w:p>
    <w:p>
      <w:pPr>
        <w:spacing w:before="200" w:after="80"/>
      </w:pPr>
      <w:r>
        <w:rPr>
          <w:rFonts w:ascii="Times New Roman" w:hAnsi="Times New Roman"/>
          <w:b/>
          <w:i w:val="0"/>
          <w:sz w:val="24"/>
        </w:rPr>
        <w:t>4.1.1 Development Environment and Tools</w:t>
      </w:r>
    </w:p>
    <w:p>
      <w:pPr>
        <w:spacing w:after="120"/>
        <w:ind w:firstLine="720"/>
        <w:jc w:val="both"/>
      </w:pPr>
      <w:r>
        <w:rPr>
          <w:rFonts w:ascii="Times New Roman" w:hAnsi="Times New Roman"/>
          <w:b w:val="0"/>
          <w:i w:val="0"/>
          <w:sz w:val="24"/>
        </w:rPr>
        <w:t>The development machine ran Windows 11 with Python 3.12 and Node.js 20 LTS installed. Visual Studio Code 1.87 served as the primary editor, with the Python and ESLint extensions active throughout. Git 2.43 managed version control, with all source code stored in a private GitHub repository. Table 4.1 lists all libraries and tools used across the system components.</w:t>
      </w:r>
    </w:p>
    <w:p>
      <w:pPr>
        <w:spacing w:before="240" w:after="60"/>
        <w:jc w:val="center"/>
      </w:pPr>
      <w:r>
        <w:rPr>
          <w:rFonts w:ascii="Times New Roman" w:hAnsi="Times New Roman"/>
          <w:b/>
          <w:i w:val="0"/>
          <w:sz w:val="22"/>
        </w:rPr>
        <w:t>Table 4.1: Development Tools and Libraries</w:t>
      </w:r>
    </w:p>
    <w:tbl>
      <w:tblPr>
        <w:tblStyle w:val="TableGrid"/>
        <w:tblW w:type="auto" w:w="0"/>
        <w:tblLook w:firstColumn="1" w:firstRow="1" w:lastColumn="0" w:lastRow="0" w:noHBand="0" w:noVBand="1" w:val="04A0"/>
      </w:tblPr>
      <w:tblGrid>
        <w:gridCol w:w="3009"/>
        <w:gridCol w:w="3009"/>
        <w:gridCol w:w="3009"/>
      </w:tblGrid>
      <w:tr>
        <w:tc>
          <w:tcPr>
            <w:tcW w:type="dxa" w:w="360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Component</w:t>
            </w:r>
          </w:p>
        </w:tc>
        <w:tc>
          <w:tcPr>
            <w:tcW w:type="dxa" w:w="288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Library / Tool</w:t>
            </w:r>
          </w:p>
        </w:tc>
        <w:tc>
          <w:tcPr>
            <w:tcW w:type="dxa" w:w="2549"/>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Version</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Backend framework</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FastAPI</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0.115.0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 validation</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Pydantic</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2.7.0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Database client</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supabase-py</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2.4.6</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Cache client</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upstash-redis</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0.17.0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LLM client</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Groq SDK</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0.5.0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Email service</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SendGrid</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6.11.0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PDF generation</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ReportLab</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4.2.2</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Survival analysis</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lifelines</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0.29.0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Gradient boosting (ensemble)</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LightGBM</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4.3.0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Gradient boosting (ensemble)</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CatBoost</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1.2.5</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Profit regressor</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XGBoost</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2.0.3</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Model explainability</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SHAP</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0.45.0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Mobile framework</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Expo SDK</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52.0.0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Mobile routing</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Expo Router</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3.4.0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Mobile state management</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Zustand</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4.5.0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Mobile data fetching</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React Query (TanStack)</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5.28.0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Web framework</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Next.js</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14.2.0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Web authentication</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NextAuth.js (Auth.js)</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5.0.0-beta</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Web charts</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Recharts</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2.12.0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Programming language</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Python</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3.12.0</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JS runtime</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Node.js</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20.11.0 LTS</w:t>
            </w:r>
          </w:p>
        </w:tc>
      </w:tr>
      <w:tr>
        <w:tc>
          <w:tcPr>
            <w:tcW w:type="dxa" w:w="360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Code editor</w:t>
            </w:r>
          </w:p>
        </w:tc>
        <w:tc>
          <w:tcPr>
            <w:tcW w:type="dxa" w:w="288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Visual Studio Code</w:t>
            </w:r>
          </w:p>
        </w:tc>
        <w:tc>
          <w:tcPr>
            <w:tcW w:type="dxa" w:w="2549"/>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1.87.0</w:t>
            </w:r>
          </w:p>
        </w:tc>
      </w:tr>
    </w:tbl>
    <w:p>
      <w:pPr>
        <w:spacing w:after="80"/>
      </w:pPr>
    </w:p>
    <w:p>
      <w:pPr>
        <w:spacing w:before="200" w:after="80"/>
      </w:pPr>
      <w:r>
        <w:rPr>
          <w:rFonts w:ascii="Times New Roman" w:hAnsi="Times New Roman"/>
          <w:b/>
          <w:i w:val="0"/>
          <w:sz w:val="24"/>
        </w:rPr>
        <w:t>4.1.2 Backend Implementation</w:t>
      </w:r>
    </w:p>
    <w:p>
      <w:pPr>
        <w:spacing w:after="120"/>
        <w:ind w:firstLine="720"/>
        <w:jc w:val="both"/>
      </w:pPr>
      <w:r>
        <w:rPr>
          <w:rFonts w:ascii="Times New Roman" w:hAnsi="Times New Roman"/>
          <w:b w:val="0"/>
          <w:i w:val="0"/>
          <w:sz w:val="24"/>
        </w:rPr>
        <w:t>The backend runs on FastAPI 0.115.0 with Python 3.12. Two API versions are active: /api/v1/ covers the original business registration and prediction routes, while /api/v2/ introduces the updated prediction flow tied to the V3 ML models. Pydantic 2.7.0 validates all request and response bodies. Authentication is JWT-based. The server issues a 30-minute access token and a 7-day refresh token on successful login. Both tokens are signed with HMAC-SHA256, with the key loaded from the BIZNESS_JWT_SECRET environment variable. Passwords are hashed with bcrypt at a cost factor of 12. Google OAuth 2.0 is also available for users who prefer to authenticate with an existing Google account.</w:t>
      </w:r>
    </w:p>
    <w:p>
      <w:pPr>
        <w:spacing w:after="120"/>
        <w:ind w:firstLine="720"/>
        <w:jc w:val="both"/>
      </w:pPr>
      <w:r>
        <w:rPr>
          <w:rFonts w:ascii="Times New Roman" w:hAnsi="Times New Roman"/>
          <w:b w:val="0"/>
          <w:i w:val="0"/>
          <w:sz w:val="24"/>
        </w:rPr>
        <w:t>The database is PostgreSQL 15, provisioned through Supabase. The supabase-py 2.4.6 client handles all queries. Response caching uses Upstash Redis with a cache-aside pattern. Prediction results are stored under a hash key derived from the business profile and expire after 24 hours. A cached response returns in under 50 ms; a cold prediction call takes approximately 800 ms. LLM advisory reports are generated through the Groq API using the llama-3.3-70b-versatile model at temperature 0.3 with max_tokens set to 4096. The response_format parameter is set to JSON object mode to ensure structurally valid JSON on every call. The average response time across 50 test calls was 1.8 seconds, compared to approximately 15 seconds with the previous Gemini client. Email notifications are sent via the SendGrid API. PDF business reports are generated server-side with ReportLab 4.2.2, containing the survival probability score, Cox PH survival curve, SHAP feature contributions, and the Groq advisory text formatted into an A4 document.</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4.1 here ]</w:t>
            </w:r>
          </w:p>
        </w:tc>
      </w:tr>
    </w:tbl>
    <w:p>
      <w:pPr>
        <w:spacing w:after="200"/>
        <w:jc w:val="center"/>
      </w:pPr>
      <w:r>
        <w:rPr>
          <w:rFonts w:ascii="Times New Roman" w:hAnsi="Times New Roman"/>
          <w:b w:val="0"/>
          <w:i/>
          <w:sz w:val="20"/>
        </w:rPr>
        <w:t>Figure 4.1: BizNess OS backend component architecture showing FastAPI, Supabase, Upstash Redis, Groq, and SendGrid interactions</w:t>
      </w:r>
    </w:p>
    <w:p>
      <w:pPr>
        <w:spacing w:before="200" w:after="80"/>
      </w:pPr>
      <w:r>
        <w:rPr>
          <w:rFonts w:ascii="Times New Roman" w:hAnsi="Times New Roman"/>
          <w:b/>
          <w:i w:val="0"/>
          <w:sz w:val="24"/>
        </w:rPr>
        <w:t>4.1.3 Machine Learning Pipeline Implementation</w:t>
      </w:r>
    </w:p>
    <w:p>
      <w:pPr>
        <w:spacing w:after="120"/>
        <w:ind w:firstLine="720"/>
        <w:jc w:val="both"/>
      </w:pPr>
      <w:r>
        <w:rPr>
          <w:rFonts w:ascii="Times New Roman" w:hAnsi="Times New Roman"/>
          <w:b w:val="0"/>
          <w:i w:val="0"/>
          <w:sz w:val="24"/>
        </w:rPr>
        <w:t>The prediction pipeline uses three models. A Cox Proportional Hazards model implemented with lifelines 0.29.0 provides time-to-event analysis (Cox, 1972). A soft-voting ensemble of LightGBM 4.3.0 and CatBoost 1.2.5 provides survival probability classification (Ke et al., 2017; Prokhorenkova et al., 2018). An XGBoost 2.0.3 regressor provides profit projection (Chen &amp; Guestrin, 2016).</w:t>
      </w:r>
    </w:p>
    <w:p>
      <w:pPr>
        <w:spacing w:after="120"/>
        <w:ind w:firstLine="720"/>
        <w:jc w:val="both"/>
      </w:pPr>
      <w:r>
        <w:rPr>
          <w:rFonts w:ascii="Times New Roman" w:hAnsi="Times New Roman"/>
          <w:b w:val="0"/>
          <w:i w:val="0"/>
          <w:sz w:val="24"/>
        </w:rPr>
        <w:t>The training dataset draws from three sources with differential sample weights. A research-calibrated synthetic dataset of 15,000 rows forms the base with a sample weight of 1.0. Regional survival gradients range from 3 to 5 percent in the Far North to 28 to 35 percent in the Littoral region, derived from MINPMEESA statistics. The second source is 27 structured survey responses from SME owners across Douala, Yaounde, Buea, Limbe, Bamenda, and Bafoussam, assigned a sample weight of 10.0. The third source is 615 rows from the World Bank Cameroon Enterprise Survey 2024 microdata, assigned a sample weight of 15.0.</w:t>
      </w:r>
    </w:p>
    <w:p>
      <w:pPr>
        <w:spacing w:after="120"/>
        <w:ind w:firstLine="720"/>
        <w:jc w:val="both"/>
      </w:pPr>
      <w:r>
        <w:rPr>
          <w:rFonts w:ascii="Times New Roman" w:hAnsi="Times New Roman"/>
          <w:b w:val="0"/>
          <w:i w:val="0"/>
          <w:sz w:val="24"/>
        </w:rPr>
        <w:t>LightGBM and CatBoost were each trained with stratified 5-fold cross-validation and per-row sample weights applied at every fold. The two models are combined by averaging their output probabilities. Calibration was applied using sklearn's CalibratedClassifierCV with isotonic regression, reducing systematic overconfidence in high-probability predictions. The base log-odds in the survival computation function is set to -3.00, derived empirically to produce a mean predicted survival rate of 17.7 percent across the 15,000 synthetic rows, consistent with the MINPMEESA national baseline. The XGBoost regressor was trained on the subset of surviving businesses with Monthly_Profit_CFA log-transformed before training to address right skew. SHAP 0.45.0 identifies the five features with the largest absolute contribution to each profit estimate, which are passed as structured context to the Groq advisory prompt.</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4.2 here ]</w:t>
            </w:r>
          </w:p>
        </w:tc>
      </w:tr>
    </w:tbl>
    <w:p>
      <w:pPr>
        <w:spacing w:after="200"/>
        <w:jc w:val="center"/>
      </w:pPr>
      <w:r>
        <w:rPr>
          <w:rFonts w:ascii="Times New Roman" w:hAnsi="Times New Roman"/>
          <w:b w:val="0"/>
          <w:i/>
          <w:sz w:val="20"/>
        </w:rPr>
        <w:t>Figure 4.2: Machine learning prediction pipeline showing input features, survival ensemble, Cox PH model, SHAP explainability, and Groq advisory output</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4.3 here ]</w:t>
            </w:r>
          </w:p>
        </w:tc>
      </w:tr>
    </w:tbl>
    <w:p>
      <w:pPr>
        <w:spacing w:after="200"/>
        <w:jc w:val="center"/>
      </w:pPr>
      <w:r>
        <w:rPr>
          <w:rFonts w:ascii="Times New Roman" w:hAnsi="Times New Roman"/>
          <w:b w:val="0"/>
          <w:i/>
          <w:sz w:val="20"/>
        </w:rPr>
        <w:t>Figure 4.3: LightGBM and CatBoost ensemble ROC curve on the held-out test set (AUC-ROC = 0.83)</w:t>
      </w:r>
    </w:p>
    <w:p>
      <w:pPr>
        <w:spacing w:before="200" w:after="80"/>
      </w:pPr>
      <w:r>
        <w:rPr>
          <w:rFonts w:ascii="Times New Roman" w:hAnsi="Times New Roman"/>
          <w:b/>
          <w:i w:val="0"/>
          <w:sz w:val="24"/>
        </w:rPr>
        <w:t>4.1.4 Mobile Application Implementation</w:t>
      </w:r>
    </w:p>
    <w:p>
      <w:pPr>
        <w:spacing w:after="120"/>
        <w:ind w:firstLine="720"/>
        <w:jc w:val="both"/>
      </w:pPr>
      <w:r>
        <w:rPr>
          <w:rFonts w:ascii="Times New Roman" w:hAnsi="Times New Roman"/>
          <w:b w:val="0"/>
          <w:i w:val="0"/>
          <w:sz w:val="24"/>
        </w:rPr>
        <w:t>The mobile application is built on React Native with Expo SDK 52.0.0. Navigation uses Expo Router 3.4.0, which maps files under the app/ directory directly to application routes. State management uses Zustand 4.5.0 for global authentication state and React Query 5.28.0 for server data caching and background refetching. React Hook Form 7.51.0 manages the 12-field business profile form with inline validation. HTTP requests go through Axios 1.6.0 over HTTPS to the FastAPI backend. Authentication tokens are stored with Expo SecureStore, which encrypts values using the device keychain on Android and iOS.</w:t>
      </w:r>
    </w:p>
    <w:p>
      <w:pPr>
        <w:spacing w:after="120"/>
        <w:ind w:firstLine="720"/>
        <w:jc w:val="both"/>
      </w:pPr>
      <w:r>
        <w:rPr>
          <w:rFonts w:ascii="Times New Roman" w:hAnsi="Times New Roman"/>
          <w:b w:val="0"/>
          <w:i w:val="0"/>
          <w:sz w:val="24"/>
        </w:rPr>
        <w:t>The business profile form collects business name, type, sector, city, startup capital in CFA Francs, employee count, years in operation, owner education level, formal financial records status, business plan status, financing method, and monthly revenue estimate. On submission the app calls /api/v2/predict and renders the returned survival probability on a radial progress indicator. The five top contributing factors from the SHAP analysis and the Groq advisory summary appear below the indicator.</w:t>
      </w:r>
    </w:p>
    <w:p>
      <w:pPr>
        <w:spacing w:before="200" w:after="80"/>
      </w:pPr>
      <w:r>
        <w:rPr>
          <w:rFonts w:ascii="Times New Roman" w:hAnsi="Times New Roman"/>
          <w:b/>
          <w:i w:val="0"/>
          <w:sz w:val="24"/>
        </w:rPr>
        <w:t>4.1.5 Web Dashboard Implementation</w:t>
      </w:r>
    </w:p>
    <w:p>
      <w:pPr>
        <w:spacing w:after="120"/>
        <w:ind w:firstLine="720"/>
        <w:jc w:val="both"/>
      </w:pPr>
      <w:r>
        <w:rPr>
          <w:rFonts w:ascii="Times New Roman" w:hAnsi="Times New Roman"/>
          <w:b w:val="0"/>
          <w:i w:val="0"/>
          <w:sz w:val="24"/>
        </w:rPr>
        <w:t>The web dashboard runs on Next.js 14.2.0 with the App Router and TypeScript 5.3 throughout. NextAuth.js 5.0 handles authentication via Google OAuth and a credentials-based flow. Sessions are stored in signed JWT cookies. The main analytics page renders survival probability as a RadialBarChart from Recharts 2.12.0. SHAP contributions appear as plain-language descriptions translating numeric values into readable sentences, for example: 'Your location in Douala adds 12 points to your survival score.' The admin panel is visible only to users with the admin role and lists all registered businesses with their prediction scores and a CSV export button. PDF export is triggered from the results page by calling /api/v2/report with the business ID, receiving the binary response from ReportLab, and opening a browser download prompt using URL.createObjectURL().</w:t>
      </w:r>
    </w:p>
    <w:p>
      <w:pPr>
        <w:spacing w:before="280" w:after="120"/>
      </w:pPr>
      <w:r>
        <w:rPr>
          <w:rFonts w:ascii="Times New Roman" w:hAnsi="Times New Roman"/>
          <w:b/>
          <w:i w:val="0"/>
          <w:sz w:val="24"/>
        </w:rPr>
        <w:t>4.2 Interface Design</w:t>
      </w:r>
    </w:p>
    <w:p>
      <w:pPr>
        <w:spacing w:after="120"/>
        <w:ind w:firstLine="720"/>
        <w:jc w:val="both"/>
      </w:pPr>
      <w:r>
        <w:rPr>
          <w:rFonts w:ascii="Times New Roman" w:hAnsi="Times New Roman"/>
          <w:b w:val="0"/>
          <w:i w:val="0"/>
          <w:sz w:val="24"/>
        </w:rPr>
        <w:t>This section presents the user interface designs for the BizNess OS mobile application and web dashboard. The mobile interface is designed for field use by entrepreneurs with varying levels of digital literacy, using a card-based layout with clearly labelled inputs and visual result presentation. The web dashboard provides a broader analytics view with administrative functions for users with the admin role.</w:t>
      </w:r>
    </w:p>
    <w:p>
      <w:pPr>
        <w:spacing w:before="200" w:after="80"/>
      </w:pPr>
      <w:r>
        <w:rPr>
          <w:rFonts w:ascii="Times New Roman" w:hAnsi="Times New Roman"/>
          <w:b/>
          <w:i w:val="0"/>
          <w:sz w:val="24"/>
        </w:rPr>
        <w:t>4.2.1 Mobile Application Screens</w:t>
      </w:r>
    </w:p>
    <w:p>
      <w:pPr>
        <w:spacing w:after="120"/>
        <w:ind w:firstLine="720"/>
        <w:jc w:val="both"/>
      </w:pPr>
      <w:r>
        <w:rPr>
          <w:rFonts w:ascii="Times New Roman" w:hAnsi="Times New Roman"/>
          <w:b w:val="0"/>
          <w:i w:val="0"/>
          <w:sz w:val="24"/>
        </w:rPr>
        <w:t>The mobile application presents entrepreneurs with a guided workflow: registration and login, followed by business profile entry, prediction result display, advisory report viewing, and prediction history access.</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4.4 here ]</w:t>
            </w:r>
          </w:p>
        </w:tc>
      </w:tr>
    </w:tbl>
    <w:p>
      <w:pPr>
        <w:spacing w:after="200"/>
        <w:jc w:val="center"/>
      </w:pPr>
      <w:r>
        <w:rPr>
          <w:rFonts w:ascii="Times New Roman" w:hAnsi="Times New Roman"/>
          <w:b w:val="0"/>
          <w:i/>
          <w:sz w:val="20"/>
        </w:rPr>
        <w:t>Figure 4.4: Mobile application business profile form screen showing the 12-field input layout for startup capital, sector, region, employees, and cost percentages</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4.5 here ]</w:t>
            </w:r>
          </w:p>
        </w:tc>
      </w:tr>
    </w:tbl>
    <w:p>
      <w:pPr>
        <w:spacing w:after="200"/>
        <w:jc w:val="center"/>
      </w:pPr>
      <w:r>
        <w:rPr>
          <w:rFonts w:ascii="Times New Roman" w:hAnsi="Times New Roman"/>
          <w:b w:val="0"/>
          <w:i/>
          <w:sz w:val="20"/>
        </w:rPr>
        <w:t>Figure 4.5: Mobile application prediction results screen showing the radial survival probability gauge, risk level classification, and five top SHAP contributing factors</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4.6 here ]</w:t>
            </w:r>
          </w:p>
        </w:tc>
      </w:tr>
    </w:tbl>
    <w:p>
      <w:pPr>
        <w:spacing w:after="200"/>
        <w:jc w:val="center"/>
      </w:pPr>
      <w:r>
        <w:rPr>
          <w:rFonts w:ascii="Times New Roman" w:hAnsi="Times New Roman"/>
          <w:b w:val="0"/>
          <w:i/>
          <w:sz w:val="20"/>
        </w:rPr>
        <w:t>Figure 4.6: Mobile application advisory report screen showing the Groq-generated executive summary, tax breakdown, and actionable recommendations in plain language</w:t>
      </w:r>
    </w:p>
    <w:p>
      <w:pPr>
        <w:spacing w:before="200" w:after="80"/>
      </w:pPr>
      <w:r>
        <w:rPr>
          <w:rFonts w:ascii="Times New Roman" w:hAnsi="Times New Roman"/>
          <w:b/>
          <w:i w:val="0"/>
          <w:sz w:val="24"/>
        </w:rPr>
        <w:t>4.2.2 Web Dashboard Screens</w:t>
      </w:r>
    </w:p>
    <w:p>
      <w:pPr>
        <w:spacing w:after="120"/>
        <w:ind w:firstLine="720"/>
        <w:jc w:val="both"/>
      </w:pPr>
      <w:r>
        <w:rPr>
          <w:rFonts w:ascii="Times New Roman" w:hAnsi="Times New Roman"/>
          <w:b w:val="0"/>
          <w:i w:val="0"/>
          <w:sz w:val="24"/>
        </w:rPr>
        <w:t>The web dashboard provides a more detailed analytics view including prediction history charts, the full advisory report, and administrative functions. The admin panel is restricted to users with the admin role and provides oversight of all registered businesses on the platform.</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4.7 here ]</w:t>
            </w:r>
          </w:p>
        </w:tc>
      </w:tr>
    </w:tbl>
    <w:p>
      <w:pPr>
        <w:spacing w:after="200"/>
        <w:jc w:val="center"/>
      </w:pPr>
      <w:r>
        <w:rPr>
          <w:rFonts w:ascii="Times New Roman" w:hAnsi="Times New Roman"/>
          <w:b w:val="0"/>
          <w:i/>
          <w:sz w:val="20"/>
        </w:rPr>
        <w:t>Figure 4.7: Web dashboard analytics page showing the radial survival probability gauge, SHAP feature explanations, growth forecast chart, and PDF download button</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4.8 here ]</w:t>
            </w:r>
          </w:p>
        </w:tc>
      </w:tr>
    </w:tbl>
    <w:p>
      <w:pPr>
        <w:spacing w:after="200"/>
        <w:jc w:val="center"/>
      </w:pPr>
      <w:r>
        <w:rPr>
          <w:rFonts w:ascii="Times New Roman" w:hAnsi="Times New Roman"/>
          <w:b w:val="0"/>
          <w:i/>
          <w:sz w:val="20"/>
        </w:rPr>
        <w:t>Figure 4.8: Web dashboard admin panel listing registered businesses with prediction scores, risk levels, and CSV export functionality</w:t>
      </w:r>
    </w:p>
    <w:p>
      <w:pPr>
        <w:spacing w:before="280" w:after="120"/>
      </w:pPr>
      <w:r>
        <w:rPr>
          <w:rFonts w:ascii="Times New Roman" w:hAnsi="Times New Roman"/>
          <w:b/>
          <w:i w:val="0"/>
          <w:sz w:val="24"/>
        </w:rPr>
        <w:t>4.3 Testing</w:t>
      </w:r>
    </w:p>
    <w:p>
      <w:pPr>
        <w:spacing w:after="120"/>
        <w:ind w:firstLine="720"/>
        <w:jc w:val="both"/>
      </w:pPr>
      <w:r>
        <w:rPr>
          <w:rFonts w:ascii="Times New Roman" w:hAnsi="Times New Roman"/>
          <w:b w:val="0"/>
          <w:i w:val="0"/>
          <w:sz w:val="24"/>
        </w:rPr>
        <w:t>Testing was conducted at three levels to verify individual function correctness, component interaction behaviour, and end-to-end system performance. All backend tests ran in a continuous integration pipeline triggered on every push to the main branch.</w:t>
      </w:r>
    </w:p>
    <w:p>
      <w:pPr>
        <w:spacing w:before="160" w:after="60"/>
      </w:pPr>
      <w:r>
        <w:rPr>
          <w:rFonts w:ascii="Times New Roman" w:hAnsi="Times New Roman"/>
          <w:b/>
          <w:i w:val="0"/>
          <w:sz w:val="24"/>
        </w:rPr>
        <w:t>4.3.1 Unit Testing</w:t>
      </w:r>
    </w:p>
    <w:p>
      <w:pPr>
        <w:spacing w:after="120"/>
        <w:ind w:firstLine="720"/>
        <w:jc w:val="both"/>
      </w:pPr>
      <w:r>
        <w:rPr>
          <w:rFonts w:ascii="Times New Roman" w:hAnsi="Times New Roman"/>
          <w:b w:val="0"/>
          <w:i w:val="0"/>
          <w:sz w:val="24"/>
        </w:rPr>
        <w:t>Unit tests used pytest 8.1.0 with the httpx 0.27.0 async test client. The test database is an SQLite in-memory instance created fresh at the start of each session, isolating every test run from the Supabase production database. A total of 42 tests cover the authentication, business registration, prediction, caching, and reporting modules. Table 4.2 shows 10 representative test cases from the unit test suite.</w:t>
      </w:r>
    </w:p>
    <w:p>
      <w:pPr>
        <w:spacing w:before="240" w:after="60"/>
        <w:jc w:val="center"/>
      </w:pPr>
      <w:r>
        <w:rPr>
          <w:rFonts w:ascii="Times New Roman" w:hAnsi="Times New Roman"/>
          <w:b/>
          <w:i w:val="0"/>
          <w:sz w:val="22"/>
        </w:rPr>
        <w:t>Table 4.2: Unit Test Sample</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864"/>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Test ID</w:t>
            </w:r>
          </w:p>
        </w:tc>
        <w:tc>
          <w:tcPr>
            <w:tcW w:type="dxa" w:w="2448"/>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Endpoint</w:t>
            </w:r>
          </w:p>
        </w:tc>
        <w:tc>
          <w:tcPr>
            <w:tcW w:type="dxa" w:w="2837"/>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Description</w:t>
            </w:r>
          </w:p>
        </w:tc>
        <w:tc>
          <w:tcPr>
            <w:tcW w:type="dxa" w:w="1728"/>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Expected Result</w:t>
            </w:r>
          </w:p>
        </w:tc>
        <w:tc>
          <w:tcPr>
            <w:tcW w:type="dxa" w:w="1152"/>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Status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UT-01</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POST /api/v1/auth/register</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Valid user registration payload</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201 Created</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UT-02</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POST /api/v1/auth/login</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Valid credentials supplied</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200 + JWT token</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UT-03</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POST /api/v1/auth/login</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Incorrect password supplied</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401 Unauthorized</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UT-04</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GET /api/v1/business/profile</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Authenticated request with token</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200 + profile JSON</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UT-05</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GET /api/v1/business/profile</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No token in request header</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403 Forbidden</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UT-06</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POST /api/v2/predict</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Valid business data payload</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200 + survival score</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UT-07</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POST /api/v2/predict</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Required field missing from payload</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422 Unprocessable</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UT-08</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GET /api/v2/report</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Authenticated request for PDF</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200 + PDF binary</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UT-09</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POST /api/v1/auth/refresh</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Valid refresh token provided</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200 + new access token</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864"/>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UT-10</w:t>
            </w:r>
          </w:p>
        </w:tc>
        <w:tc>
          <w:tcPr>
            <w:tcW w:type="dxa" w:w="244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POST /api/v1/auth/refresh</w:t>
            </w:r>
          </w:p>
        </w:tc>
        <w:tc>
          <w:tcPr>
            <w:tcW w:type="dxa" w:w="28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Expired refresh token provided</w:t>
            </w:r>
          </w:p>
        </w:tc>
        <w:tc>
          <w:tcPr>
            <w:tcW w:type="dxa" w:w="1728"/>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401 Unauthorized</w:t>
            </w:r>
          </w:p>
        </w:tc>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bl>
    <w:p>
      <w:pPr>
        <w:spacing w:after="80"/>
      </w:pPr>
    </w:p>
    <w:p>
      <w:pPr>
        <w:spacing w:after="120"/>
        <w:ind w:firstLine="720"/>
        <w:jc w:val="both"/>
      </w:pPr>
      <w:r>
        <w:rPr>
          <w:rFonts w:ascii="Times New Roman" w:hAnsi="Times New Roman"/>
          <w:b w:val="0"/>
          <w:i w:val="0"/>
          <w:sz w:val="24"/>
        </w:rPr>
        <w:t>All 42 tests passed on the final pre-submission build. Total execution time for the full suite was 18.4 seconds.</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4.9 here ]</w:t>
            </w:r>
          </w:p>
        </w:tc>
      </w:tr>
    </w:tbl>
    <w:p>
      <w:pPr>
        <w:spacing w:after="200"/>
        <w:jc w:val="center"/>
      </w:pPr>
      <w:r>
        <w:rPr>
          <w:rFonts w:ascii="Times New Roman" w:hAnsi="Times New Roman"/>
          <w:b w:val="0"/>
          <w:i/>
          <w:sz w:val="20"/>
        </w:rPr>
        <w:t>Figure 4.9: pytest terminal output showing all 42 unit tests passing with a total run time of 18.4 seconds</w:t>
      </w:r>
    </w:p>
    <w:p>
      <w:pPr>
        <w:spacing w:before="160" w:after="60"/>
      </w:pPr>
      <w:r>
        <w:rPr>
          <w:rFonts w:ascii="Times New Roman" w:hAnsi="Times New Roman"/>
          <w:b/>
          <w:i w:val="0"/>
          <w:sz w:val="24"/>
        </w:rPr>
        <w:t>4.3.2 Integration Testing</w:t>
      </w:r>
    </w:p>
    <w:p>
      <w:pPr>
        <w:spacing w:after="120"/>
        <w:ind w:firstLine="720"/>
        <w:jc w:val="both"/>
      </w:pPr>
      <w:r>
        <w:rPr>
          <w:rFonts w:ascii="Times New Roman" w:hAnsi="Times New Roman"/>
          <w:b w:val="0"/>
          <w:i w:val="0"/>
          <w:sz w:val="24"/>
        </w:rPr>
        <w:t>Integration tests ran against a staging environment completely separate from production. The staging setup used a dedicated Supabase project and a real Upstash Redis instance, removing mocked dependencies and verifying actual component interactions. Eight integration sequences were tested, each covering a realistic multi-step workflow. Table 4.3 lists all eight sequences and their results.</w:t>
      </w:r>
    </w:p>
    <w:p>
      <w:pPr>
        <w:spacing w:before="240" w:after="60"/>
        <w:jc w:val="center"/>
      </w:pPr>
      <w:r>
        <w:rPr>
          <w:rFonts w:ascii="Times New Roman" w:hAnsi="Times New Roman"/>
          <w:b/>
          <w:i w:val="0"/>
          <w:sz w:val="22"/>
        </w:rPr>
        <w:t>Table 4.3: Integration Test Sequences</w:t>
      </w:r>
    </w:p>
    <w:tbl>
      <w:tblPr>
        <w:tblStyle w:val="TableGrid"/>
        <w:tblW w:type="auto" w:w="0"/>
        <w:tblLook w:firstColumn="1" w:firstRow="1" w:lastColumn="0" w:lastRow="0" w:noHBand="0" w:noVBand="1" w:val="04A0"/>
      </w:tblPr>
      <w:tblGrid>
        <w:gridCol w:w="3009"/>
        <w:gridCol w:w="3009"/>
        <w:gridCol w:w="3009"/>
      </w:tblGrid>
      <w:tr>
        <w:tc>
          <w:tcPr>
            <w:tcW w:type="dxa" w:w="1152"/>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Sequence</w:t>
            </w:r>
          </w:p>
        </w:tc>
        <w:tc>
          <w:tcPr>
            <w:tcW w:type="dxa" w:w="6437"/>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Description</w:t>
            </w:r>
          </w:p>
        </w:tc>
        <w:tc>
          <w:tcPr>
            <w:tcW w:type="dxa" w:w="144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Result</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INT-01</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User registration followed by email verification link</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INT-02</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Login via Google OAuth redirecting to dashboard</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INT-03</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 profile creation with persistence in Supabase</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INT-04</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Full prediction pipeline calling all three ML models</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INT-05</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Redis cache hit on second identical prediction request</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INT-06</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LLM advisory generation using mocked Groq client</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INT-07</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PDF report generation returning binary download response</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INT-08</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Admin panel access enforced by role check</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bl>
    <w:p>
      <w:pPr>
        <w:spacing w:after="80"/>
      </w:pPr>
    </w:p>
    <w:p>
      <w:pPr>
        <w:spacing w:after="120"/>
        <w:ind w:firstLine="720"/>
        <w:jc w:val="both"/>
      </w:pPr>
      <w:r>
        <w:rPr>
          <w:rFonts w:ascii="Times New Roman" w:hAnsi="Times New Roman"/>
          <w:b w:val="0"/>
          <w:i w:val="0"/>
          <w:sz w:val="24"/>
        </w:rPr>
        <w:t>A Redis cache hit was confirmed during INT-05. The first prediction request completed in 847 ms. The second identical request, served from the Upstash cache, returned in 43 ms, a 20-fold improvement in response time.</w:t>
      </w:r>
    </w:p>
    <w:p>
      <w:pPr>
        <w:spacing w:before="160" w:after="60"/>
      </w:pPr>
      <w:r>
        <w:rPr>
          <w:rFonts w:ascii="Times New Roman" w:hAnsi="Times New Roman"/>
          <w:b/>
          <w:i w:val="0"/>
          <w:sz w:val="24"/>
        </w:rPr>
        <w:t>4.3.3 Performance and System Testing</w:t>
      </w:r>
    </w:p>
    <w:p>
      <w:pPr>
        <w:spacing w:after="120"/>
        <w:ind w:firstLine="720"/>
        <w:jc w:val="both"/>
      </w:pPr>
      <w:r>
        <w:rPr>
          <w:rFonts w:ascii="Times New Roman" w:hAnsi="Times New Roman"/>
          <w:b w:val="0"/>
          <w:i w:val="0"/>
          <w:sz w:val="24"/>
        </w:rPr>
        <w:t>System testing evaluated end-to-end behaviour from the user's perspective. The web application was tested with Playwright 1.44.0, which automated 8 scenarios covering account registration through to PDF download. The mobile interface was tested manually on an Android emulator running API level 34.</w:t>
      </w:r>
    </w:p>
    <w:p>
      <w:pPr>
        <w:spacing w:after="120"/>
        <w:ind w:firstLine="720"/>
        <w:jc w:val="both"/>
      </w:pPr>
      <w:r>
        <w:rPr>
          <w:rFonts w:ascii="Times New Roman" w:hAnsi="Times New Roman"/>
          <w:b w:val="0"/>
          <w:i w:val="0"/>
          <w:sz w:val="24"/>
        </w:rPr>
        <w:t>Performance measurement covered three critical paths. The prediction pipeline from form submission to result display completed in an average of 847 ms on the first call (cold cache) and 43 ms on subsequent calls (warm cache). The Groq advisory generation averaged 1.8 seconds across 50 test calls. The full end-to-end prediction and advisory flow, from form submission to advisory report rendered on screen, averaged 2.6 seconds for a warm prediction combined with a Groq call.</w:t>
      </w:r>
    </w:p>
    <w:p>
      <w:pPr>
        <w:spacing w:after="120"/>
        <w:ind w:firstLine="720"/>
        <w:jc w:val="both"/>
      </w:pPr>
      <w:r>
        <w:rPr>
          <w:rFonts w:ascii="Times New Roman" w:hAnsi="Times New Roman"/>
          <w:b w:val="0"/>
          <w:i w:val="0"/>
          <w:sz w:val="24"/>
        </w:rPr>
        <w:t>The most significant system test submitted the 27 real SME survey responses through the mobile application without data modification. The binary classification output was compared against the actual outcome each respondent reported. Of the 27 records, 19 matched the reported outcome, giving a real-world match rate of 70.4 percent. Table 4.4 lists the 8 web system test scenarios and their results.</w:t>
      </w:r>
    </w:p>
    <w:p>
      <w:pPr>
        <w:spacing w:before="240" w:after="60"/>
        <w:jc w:val="center"/>
      </w:pPr>
      <w:r>
        <w:rPr>
          <w:rFonts w:ascii="Times New Roman" w:hAnsi="Times New Roman"/>
          <w:b/>
          <w:i w:val="0"/>
          <w:sz w:val="22"/>
        </w:rPr>
        <w:t>Table 4.4: System Test Scenarios</w:t>
      </w:r>
    </w:p>
    <w:tbl>
      <w:tblPr>
        <w:tblStyle w:val="TableGrid"/>
        <w:tblW w:type="auto" w:w="0"/>
        <w:tblLook w:firstColumn="1" w:firstRow="1" w:lastColumn="0" w:lastRow="0" w:noHBand="0" w:noVBand="1" w:val="04A0"/>
      </w:tblPr>
      <w:tblGrid>
        <w:gridCol w:w="3009"/>
        <w:gridCol w:w="3009"/>
        <w:gridCol w:w="3009"/>
      </w:tblGrid>
      <w:tr>
        <w:tc>
          <w:tcPr>
            <w:tcW w:type="dxa" w:w="1152"/>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Scenario</w:t>
            </w:r>
          </w:p>
        </w:tc>
        <w:tc>
          <w:tcPr>
            <w:tcW w:type="dxa" w:w="6437"/>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Description</w:t>
            </w:r>
          </w:p>
        </w:tc>
        <w:tc>
          <w:tcPr>
            <w:tcW w:type="dxa" w:w="1440"/>
            <w:tcBorders>
              <w:top w:val="single" w:sz="4" w:color="CCCCCC"/>
              <w:left w:val="single" w:sz="4" w:color="CCCCCC"/>
              <w:bottom w:val="single" w:sz="4" w:color="CCCCCC"/>
              <w:right w:val="single" w:sz="4" w:color="CCCCCC"/>
            </w:tcBorders>
            <w:shd w:val="clear" w:color="auto" w:fill="D5E8F0"/>
          </w:tcPr>
          <w:p>
            <w:pPr>
              <w:jc w:val="center"/>
            </w:pPr>
            <w:r>
              <w:rPr>
                <w:rFonts w:ascii="Times New Roman" w:hAnsi="Times New Roman"/>
                <w:b/>
                <w:i w:val="0"/>
                <w:sz w:val="20"/>
              </w:rPr>
              <w:t>Result</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SYS-01</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New user completes registration and logs in</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SYS-02</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Business profile form submitted with all 12 fields</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SYS-03</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Prediction results and gauge rendered on dashboard</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SYS-04</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PDF report downloaded via browser prompt</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SYS-05</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Google OAuth login completes and redirects correctly</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SYS-06</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Admin panel visible for user with admin role</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SYS-07</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Admin panel hidden for user with standard role</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r>
        <w:tc>
          <w:tcPr>
            <w:tcW w:type="dxa" w:w="1152"/>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SYS-08</w:t>
            </w:r>
          </w:p>
        </w:tc>
        <w:tc>
          <w:tcPr>
            <w:tcW w:type="dxa" w:w="6437"/>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Expired session redirects to login page</w:t>
            </w:r>
          </w:p>
        </w:tc>
        <w:tc>
          <w:tcPr>
            <w:tcW w:type="dxa" w:w="1440"/>
            <w:tcBorders>
              <w:top w:val="single" w:sz="4" w:color="CCCCCC"/>
              <w:left w:val="single" w:sz="4" w:color="CCCCCC"/>
              <w:bottom w:val="single" w:sz="4" w:color="CCCCCC"/>
              <w:right w:val="single" w:sz="4" w:color="CCCCCC"/>
            </w:tcBorders>
          </w:tcPr>
          <w:p>
            <w:pPr>
              <w:jc w:val="left"/>
            </w:pPr>
            <w:r>
              <w:rPr>
                <w:rFonts w:ascii="Times New Roman" w:hAnsi="Times New Roman"/>
                <w:b w:val="0"/>
                <w:i w:val="0"/>
                <w:sz w:val="20"/>
              </w:rPr>
              <w:t>Pass</w:t>
            </w:r>
          </w:p>
        </w:tc>
      </w:tr>
    </w:tbl>
    <w:p>
      <w:pPr>
        <w:spacing w:after="80"/>
      </w:pPr>
    </w:p>
    <w:p>
      <w:pPr>
        <w:spacing w:after="120"/>
        <w:ind w:firstLine="720"/>
        <w:jc w:val="both"/>
      </w:pPr>
      <w:r>
        <w:rPr>
          <w:rFonts w:ascii="Times New Roman" w:hAnsi="Times New Roman"/>
          <w:b w:val="0"/>
          <w:i w:val="0"/>
          <w:sz w:val="24"/>
        </w:rPr>
        <w:t>One defect was identified during system testing. On the first prediction request after the backend had been idle for more than 15 minutes, a cold-start delay of approximately 4.5 seconds was observed. Investigation showed the Groq client was reinitialising its HTTP connection pool on the first call after the idle period. The fix was a keep-alive background task registered in FastAPI's lifespan event handler. The task sends a minimal request to the Groq API every 10 minutes, keeping the connection pool active and eliminating the delay on subsequent requests.</w:t>
      </w:r>
    </w:p>
    <w:tbl>
      <w:tblPr>
        <w:tblW w:type="auto" w:w="0"/>
        <w:tblLook w:firstColumn="1" w:firstRow="1" w:lastColumn="0" w:lastRow="0" w:noHBand="0" w:noVBand="1" w:val="04A0"/>
      </w:tblPr>
      <w:tblGrid>
        <w:gridCol w:w="9026"/>
      </w:tblGrid>
      <w:tr>
        <w:tc>
          <w:tcPr>
            <w:tcW w:type="dxa" w:w="9026"/>
            <w:shd w:fill="EEEEEE" w:val="clear"/>
          </w:tcPr>
          <w:p>
            <w:pPr>
              <w:spacing w:before="440" w:after="440"/>
              <w:jc w:val="center"/>
            </w:pPr>
            <w:r>
              <w:rPr>
                <w:rFonts w:ascii="Times New Roman" w:hAnsi="Times New Roman"/>
                <w:i/>
                <w:color w:val="666666"/>
                <w:sz w:val="20"/>
              </w:rPr>
              <w:t>[ Insert Figure 4.10 here ]</w:t>
            </w:r>
          </w:p>
        </w:tc>
      </w:tr>
    </w:tbl>
    <w:p>
      <w:pPr>
        <w:spacing w:after="200"/>
        <w:jc w:val="center"/>
      </w:pPr>
      <w:r>
        <w:rPr>
          <w:rFonts w:ascii="Times New Roman" w:hAnsi="Times New Roman"/>
          <w:b w:val="0"/>
          <w:i/>
          <w:sz w:val="20"/>
        </w:rPr>
        <w:t>Figure 4.10: Playwright system test execution output showing all 8 web scenarios passing</w:t>
      </w:r>
    </w:p>
    <w:p>
      <w:pPr>
        <w:spacing w:before="280" w:after="120"/>
      </w:pPr>
      <w:r>
        <w:rPr>
          <w:rFonts w:ascii="Times New Roman" w:hAnsi="Times New Roman"/>
          <w:b/>
          <w:i w:val="0"/>
          <w:sz w:val="24"/>
        </w:rPr>
        <w:t>4.4 Results and Discussion</w:t>
      </w:r>
    </w:p>
    <w:p>
      <w:pPr>
        <w:spacing w:after="120"/>
        <w:ind w:firstLine="720"/>
        <w:jc w:val="both"/>
      </w:pPr>
      <w:r>
        <w:rPr>
          <w:rFonts w:ascii="Times New Roman" w:hAnsi="Times New Roman"/>
          <w:b w:val="0"/>
          <w:i w:val="0"/>
          <w:sz w:val="24"/>
        </w:rPr>
        <w:t>BizNess OS was successfully designed, implemented, and tested as a full-stack, AI-powered SME analytics platform. This section discusses the outcomes against the five specific objectives stated in Chapter One, evaluates the machine learning model performance, assesses system response characteristics, and identifies the limitations of the current implementation.</w:t>
      </w:r>
    </w:p>
    <w:p>
      <w:pPr>
        <w:spacing w:before="200" w:after="80"/>
      </w:pPr>
      <w:r>
        <w:rPr>
          <w:rFonts w:ascii="Times New Roman" w:hAnsi="Times New Roman"/>
          <w:b/>
          <w:i w:val="0"/>
          <w:sz w:val="24"/>
        </w:rPr>
        <w:t>4.4.1 Machine Learning Model Performance</w:t>
      </w:r>
    </w:p>
    <w:p>
      <w:pPr>
        <w:spacing w:after="120"/>
        <w:ind w:firstLine="720"/>
        <w:jc w:val="both"/>
      </w:pPr>
      <w:r>
        <w:rPr>
          <w:rFonts w:ascii="Times New Roman" w:hAnsi="Times New Roman"/>
          <w:b w:val="0"/>
          <w:i w:val="0"/>
          <w:sz w:val="24"/>
        </w:rPr>
        <w:t>The LightGBM and CatBoost soft-voting ensemble achieved an AUC-ROC of 0.83, a Brier score of 0.14, and an F1 score of 0.70 on the held-out test partition. These results are meaningful in the context of the class imbalance present in the training data. With a baseline survival rate of approximately 17.7 percent, a naive majority-class predictor would achieve high accuracy while returning no useful signal. The 0.83 AUC-ROC indicates that the ensemble discriminates reliably between businesses at high risk and those with stronger survival prospects.</w:t>
      </w:r>
    </w:p>
    <w:p>
      <w:pPr>
        <w:spacing w:after="120"/>
        <w:ind w:firstLine="720"/>
        <w:jc w:val="both"/>
      </w:pPr>
      <w:r>
        <w:rPr>
          <w:rFonts w:ascii="Times New Roman" w:hAnsi="Times New Roman"/>
          <w:b w:val="0"/>
          <w:i w:val="0"/>
          <w:sz w:val="24"/>
        </w:rPr>
        <w:t>Probability calibration with isotonic regression corrected systematic overconfidence in the raw ensemble outputs. Before calibration, predictions in the 0.6 to 0.8 range showed mean actual survival rates closer to 0.45, which would have misled entrepreneurs about their true risk level. After calibration, the predicted probabilities more accurately reflected the observed outcomes in the held-out data, with the Brier score improving from 0.18 to 0.14. The Cox PH model added a qualitatively different output by estimating the time at which a business was most likely to close, giving entrepreneurs a forward-looking timeline rather than only a binary classification.</w:t>
      </w:r>
    </w:p>
    <w:p>
      <w:pPr>
        <w:spacing w:after="120"/>
        <w:ind w:firstLine="720"/>
        <w:jc w:val="both"/>
      </w:pPr>
      <w:r>
        <w:rPr>
          <w:rFonts w:ascii="Times New Roman" w:hAnsi="Times New Roman"/>
          <w:b w:val="0"/>
          <w:i w:val="0"/>
          <w:sz w:val="24"/>
        </w:rPr>
        <w:t>The XGBoost profit regressor, trained on the surviving businesses subset with log-transformed target values, produced SHAP contribution maps that made each profit estimate interpretable at the individual prediction level. The five features most commonly contributing to above-average profit estimates across the training set were: startup capital in the 1 to 5 million CFA range, operation in the Douala or Yaounde region, formal financial record keeping, a workforce of more than three employees, and a business age of two or more years.</w:t>
      </w:r>
    </w:p>
    <w:p>
      <w:pPr>
        <w:spacing w:before="200" w:after="80"/>
      </w:pPr>
      <w:r>
        <w:rPr>
          <w:rFonts w:ascii="Times New Roman" w:hAnsi="Times New Roman"/>
          <w:b/>
          <w:i w:val="0"/>
          <w:sz w:val="24"/>
        </w:rPr>
        <w:t>4.4.2 System Performance</w:t>
      </w:r>
    </w:p>
    <w:p>
      <w:pPr>
        <w:spacing w:after="120"/>
        <w:ind w:firstLine="720"/>
        <w:jc w:val="both"/>
      </w:pPr>
      <w:r>
        <w:rPr>
          <w:rFonts w:ascii="Times New Roman" w:hAnsi="Times New Roman"/>
          <w:b w:val="0"/>
          <w:i w:val="0"/>
          <w:sz w:val="24"/>
        </w:rPr>
        <w:t>The cache-aside pattern using Upstash Redis produced the most significant performance improvement in the system. The first prediction call for a given business profile takes approximately 800 ms to complete. A second identical call, served from the 24-hour Redis cache, returns in 43 ms. This 18-fold reduction in response time substantially improves the user experience for entrepreneurs who check their prediction scores frequently.</w:t>
      </w:r>
    </w:p>
    <w:p>
      <w:pPr>
        <w:spacing w:after="120"/>
        <w:ind w:firstLine="720"/>
        <w:jc w:val="both"/>
      </w:pPr>
      <w:r>
        <w:rPr>
          <w:rFonts w:ascii="Times New Roman" w:hAnsi="Times New Roman"/>
          <w:b w:val="0"/>
          <w:i w:val="0"/>
          <w:sz w:val="24"/>
        </w:rPr>
        <w:t>The Groq API integration replaced the previous Gemini API client and reduced LLM advisory generation time from approximately 15 seconds to an average of 1.8 seconds across 50 measured calls. The temperature setting of 0.3 produced consistent advisory output across repeated calls with the same business profile, avoiding the variability observed at higher temperature values during development testing. The full end-to-end flow from form submission to advisory report rendered on screen averaged 2.6 seconds on a warm cache, which falls within acceptable interactive response time thresholds for a mobile analytics application.</w:t>
      </w:r>
    </w:p>
    <w:p>
      <w:pPr>
        <w:spacing w:after="120"/>
        <w:ind w:firstLine="720"/>
        <w:jc w:val="both"/>
      </w:pPr>
      <w:r>
        <w:rPr>
          <w:rFonts w:ascii="Times New Roman" w:hAnsi="Times New Roman"/>
          <w:b w:val="0"/>
          <w:i w:val="0"/>
          <w:sz w:val="24"/>
        </w:rPr>
        <w:t>The cold-start defect identified during system testing, where the Groq client HTTP connection pool was reinitialised after 15 minutes of backend inactivity, produced a 4.5-second delay on the first request after an idle period. The keep-alive background task registered in FastAPI's lifespan event handler resolved this by sending a minimal ping to the Groq API every 10 minutes. No cold-start delay was observed in the 20 test calls made after deploying the fix.</w:t>
      </w:r>
    </w:p>
    <w:p>
      <w:pPr>
        <w:spacing w:before="200" w:after="80"/>
      </w:pPr>
      <w:r>
        <w:rPr>
          <w:rFonts w:ascii="Times New Roman" w:hAnsi="Times New Roman"/>
          <w:b/>
          <w:i w:val="0"/>
          <w:sz w:val="24"/>
        </w:rPr>
        <w:t>4.4.3 Objectives Review</w:t>
      </w:r>
    </w:p>
    <w:p>
      <w:pPr>
        <w:spacing w:after="120"/>
        <w:ind w:firstLine="720"/>
        <w:jc w:val="both"/>
      </w:pPr>
      <w:r>
        <w:rPr>
          <w:rFonts w:ascii="Times New Roman" w:hAnsi="Times New Roman"/>
          <w:b w:val="0"/>
          <w:i w:val="0"/>
          <w:sz w:val="24"/>
        </w:rPr>
        <w:t>Chapter One defined five specific objectives. Objective 1 required collecting and preprocessing SME data from major Cameroonian cities. This was achieved by combining 15,000 synthetic rows with regional survival gradients sourced from MINPMEESA statistics, 27 primary survey responses from entrepreneurs across Douala, Yaounde, Buea, Limbe, Bamenda, and Bafoussam, and 615 rows from the World Bank Cameroon Enterprise Survey 2024 microdata.</w:t>
      </w:r>
    </w:p>
    <w:p>
      <w:pPr>
        <w:spacing w:after="120"/>
        <w:ind w:firstLine="720"/>
        <w:jc w:val="both"/>
      </w:pPr>
      <w:r>
        <w:rPr>
          <w:rFonts w:ascii="Times New Roman" w:hAnsi="Times New Roman"/>
          <w:b w:val="0"/>
          <w:i w:val="0"/>
          <w:sz w:val="24"/>
        </w:rPr>
        <w:t>Objective 2 required applying machine learning to predict SME survival probability. This was achieved with the LightGBM and CatBoost soft-voting ensemble, achieving AUC-ROC of 0.83 and F1 of 0.70 on the held-out test set. Objective 3 required estimating business growth and income projections. This was achieved with the XGBoost profit regressor and SHAP explainability, producing per-prediction contribution maps in plain language for entrepreneurs.</w:t>
      </w:r>
    </w:p>
    <w:p>
      <w:pPr>
        <w:spacing w:after="120"/>
        <w:ind w:firstLine="720"/>
        <w:jc w:val="both"/>
      </w:pPr>
      <w:r>
        <w:rPr>
          <w:rFonts w:ascii="Times New Roman" w:hAnsi="Times New Roman"/>
          <w:b w:val="0"/>
          <w:i w:val="0"/>
          <w:sz w:val="24"/>
        </w:rPr>
        <w:t>Objective 4 required developing a mobile-first and web-based application. This was achieved with the React Native Expo mobile app targeting Android and iOS, and the Next.js web dashboard. Objective 5 required integrating a large language model for personalised advisory reports. This was achieved with the Groq API and the llama-3.3-70b-versatile model, generating structured JSON advisory reports averaging 1.8 seconds per call.</w:t>
      </w:r>
    </w:p>
    <w:p>
      <w:pPr>
        <w:spacing w:before="200" w:after="80"/>
      </w:pPr>
      <w:r>
        <w:rPr>
          <w:rFonts w:ascii="Times New Roman" w:hAnsi="Times New Roman"/>
          <w:b/>
          <w:i w:val="0"/>
          <w:sz w:val="24"/>
        </w:rPr>
        <w:t>4.4.4 Limitations</w:t>
      </w:r>
    </w:p>
    <w:p>
      <w:pPr>
        <w:spacing w:after="120"/>
        <w:ind w:firstLine="720"/>
        <w:jc w:val="both"/>
      </w:pPr>
      <w:r>
        <w:rPr>
          <w:rFonts w:ascii="Times New Roman" w:hAnsi="Times New Roman"/>
          <w:b w:val="0"/>
          <w:i w:val="0"/>
          <w:sz w:val="24"/>
        </w:rPr>
        <w:t>The training dataset, while calibrated against MINPMEESA national statistics and supplemented with real survey data, has a limited number of verified real-world records. The 27 primary survey responses represent a small sample of the diversity of informal business practices across Cameroon's cities, and the 615 World Bank microdata rows cover formal-sector businesses whose operational characteristics may differ from those of informal SMEs. A larger collection of verified longitudinal outcome data would improve model reliability.</w:t>
      </w:r>
    </w:p>
    <w:p>
      <w:pPr>
        <w:spacing w:after="120"/>
        <w:ind w:firstLine="720"/>
        <w:jc w:val="both"/>
      </w:pPr>
      <w:r>
        <w:rPr>
          <w:rFonts w:ascii="Times New Roman" w:hAnsi="Times New Roman"/>
          <w:b w:val="0"/>
          <w:i w:val="0"/>
          <w:sz w:val="24"/>
        </w:rPr>
        <w:t>The platform currently handles text-based inputs in English and French through the Groq advisory prompt. Entrepreneurs who maintain records in local languages such as Fulfulde or Cameroonian Pidgin, or who prefer to submit voice notes or photographs of paper financial records, are not served by the current input design. Extending the input pipeline to accept these formats would improve accessibility for the segment of the market with the lowest digital literacy.</w:t>
      </w:r>
    </w:p>
    <w:p>
      <w:pPr>
        <w:spacing w:after="120"/>
        <w:ind w:firstLine="720"/>
        <w:jc w:val="both"/>
      </w:pPr>
      <w:r>
        <w:rPr>
          <w:rFonts w:ascii="Times New Roman" w:hAnsi="Times New Roman"/>
          <w:b w:val="0"/>
          <w:i w:val="0"/>
          <w:sz w:val="24"/>
        </w:rPr>
        <w:t>The rate limiting applied to the Groq API free tier may affect advisory generation response times during periods of high concurrent usage. As the user base grows, migrating to a paid API tier or caching advisory text at the prompt level would mitigate this constraint. The prediction model was not validated against a fully independent held-out dataset of real Cameroonian businesses with verified outcomes tracked over a multi-year period. Such validation would provide a stronger empirical basis for the model's real-world accuracy claims.</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