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Times New Roman" w:cs="Times New Roman" w:eastAsia="Times New Roman" w:hAnsi="Times New Roman"/>
          <w:b/>
          <w:bCs/>
          <w:sz w:val="28"/>
          <w:szCs w:val="28"/>
        </w:rPr>
        <w:t xml:space="preserve">CHAPTER FIVE</w:t>
      </w:r>
    </w:p>
    <w:p>
      <w:pPr>
        <w:spacing w:after="80" w:before="120"/>
        <w:jc w:val="center"/>
      </w:pPr>
      <w:r>
        <w:rPr>
          <w:rFonts w:ascii="Times New Roman" w:cs="Times New Roman" w:eastAsia="Times New Roman" w:hAnsi="Times New Roman"/>
          <w:b/>
          <w:bCs/>
          <w:sz w:val="28"/>
          <w:szCs w:val="28"/>
        </w:rPr>
        <w:t xml:space="preserve">CONCLUSIONS AND RECOMMENDATIONS</w:t>
      </w:r>
    </w:p>
    <w:p>
      <w:pPr>
        <w:spacing w:after="120" w:before="280"/>
      </w:pPr>
      <w:r>
        <w:rPr>
          <w:rFonts w:ascii="Times New Roman" w:cs="Times New Roman" w:eastAsia="Times New Roman" w:hAnsi="Times New Roman"/>
          <w:b/>
          <w:bCs/>
          <w:sz w:val="24"/>
          <w:szCs w:val="24"/>
        </w:rPr>
        <w:t xml:space="preserve">5.1 Introduction</w:t>
      </w:r>
    </w:p>
    <w:p>
      <w:pPr>
        <w:spacing w:after="100"/>
        <w:ind w:firstLine="720"/>
        <w:jc w:val="both"/>
      </w:pPr>
      <w:r>
        <w:rPr>
          <w:rFonts w:ascii="Times New Roman" w:cs="Times New Roman" w:eastAsia="Times New Roman" w:hAnsi="Times New Roman"/>
          <w:b w:val="false"/>
          <w:bCs w:val="false"/>
          <w:i w:val="false"/>
          <w:iCs w:val="false"/>
          <w:sz w:val="24"/>
          <w:szCs w:val="24"/>
        </w:rPr>
        <w:t xml:space="preserve">This chapter summarises the work carried out across the project, draws conclusions from the results, identifies the key limitations of the study, and outlines recommendations for future development of BizSense Operations Suite.</w:t>
      </w:r>
    </w:p>
    <w:p>
      <w:pPr>
        <w:spacing w:after="120" w:before="280"/>
      </w:pPr>
      <w:r>
        <w:rPr>
          <w:rFonts w:ascii="Times New Roman" w:cs="Times New Roman" w:eastAsia="Times New Roman" w:hAnsi="Times New Roman"/>
          <w:b/>
          <w:bCs/>
          <w:sz w:val="24"/>
          <w:szCs w:val="24"/>
        </w:rPr>
        <w:t xml:space="preserve">5.2 Summary of Work Done</w:t>
      </w:r>
    </w:p>
    <w:p>
      <w:pPr>
        <w:spacing w:after="100"/>
        <w:ind w:firstLine="720"/>
        <w:jc w:val="both"/>
      </w:pPr>
      <w:r>
        <w:rPr>
          <w:rFonts w:ascii="Times New Roman" w:cs="Times New Roman" w:eastAsia="Times New Roman" w:hAnsi="Times New Roman"/>
          <w:b w:val="false"/>
          <w:bCs w:val="false"/>
          <w:i w:val="false"/>
          <w:iCs w:val="false"/>
          <w:sz w:val="24"/>
          <w:szCs w:val="24"/>
        </w:rPr>
        <w:t xml:space="preserve">Chapter One identified the problem: 94.6% of Cameroonian SMEs fail within five years (MINPMEESA, 2022), with no existing data-driven tool to support them. Chapter Two established the theoretical framework covering ensemble learning (LightGBM, CatBoost), survival analysis (Cox PH), LLM advisory (llama-3.3-70b via Groq), and SHAP explainability. Chapter Three designed the three-tier system architecture and data model. Chapter Four implemented and tested the full platform, with the ensemble model achieving an AUC-ROC of 0.83 and the advisory system producing structured JSON reports averaging 1.8 seconds per response.</w:t>
      </w:r>
    </w:p>
    <w:p>
      <w:pPr>
        <w:spacing w:after="120" w:before="280"/>
      </w:pPr>
      <w:r>
        <w:rPr>
          <w:rFonts w:ascii="Times New Roman" w:cs="Times New Roman" w:eastAsia="Times New Roman" w:hAnsi="Times New Roman"/>
          <w:b/>
          <w:bCs/>
          <w:sz w:val="24"/>
          <w:szCs w:val="24"/>
        </w:rPr>
        <w:t xml:space="preserve">5.3 Conclusions</w:t>
      </w:r>
    </w:p>
    <w:p>
      <w:pPr>
        <w:spacing w:after="100"/>
        <w:ind w:firstLine="720"/>
        <w:jc w:val="both"/>
      </w:pPr>
      <w:r>
        <w:rPr>
          <w:rFonts w:ascii="Times New Roman" w:cs="Times New Roman" w:eastAsia="Times New Roman" w:hAnsi="Times New Roman"/>
          <w:b w:val="false"/>
          <w:bCs w:val="false"/>
          <w:i w:val="false"/>
          <w:iCs w:val="false"/>
          <w:sz w:val="24"/>
          <w:szCs w:val="24"/>
        </w:rPr>
        <w:t xml:space="preserve">The following conclusions are drawn from the work:</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The LightGBM and CatBoost ensemble achieved AUC-ROC 0.83, confirming SME failure prediction is feasible with limited Cameroonian data and differential sample weighting.</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The Cox proportional hazards model generated actionable one-, two-, and three-year survival curves, giving owners a time horizon rather than a single probability score.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llama-3.3-70b via Groq produced localised, structured advisory reports in under 2 seconds on average, making LLM inference operationally viable on the platform.</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SHAP explainability successfully linked model attributions to advisory content, grounding each report in the actual factors driving that specific prediction.</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Redis caching reduced repeated-query latency from approximately 15 seconds to under 100 milliseconds, a critical improvement for mobile users on data connections.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The full platform was deployed to Render.com and is operational at the close of this study.</w:t>
      </w:r>
    </w:p>
    <w:p>
      <w:pPr>
        <w:spacing w:after="120" w:before="280"/>
      </w:pPr>
      <w:r>
        <w:rPr>
          <w:rFonts w:ascii="Times New Roman" w:cs="Times New Roman" w:eastAsia="Times New Roman" w:hAnsi="Times New Roman"/>
          <w:b/>
          <w:bCs/>
          <w:sz w:val="24"/>
          <w:szCs w:val="24"/>
        </w:rPr>
        <w:t xml:space="preserve">5.4 Limitations of the Study</w:t>
      </w:r>
    </w:p>
    <w:p>
      <w:pPr>
        <w:spacing w:after="100"/>
        <w:ind w:firstLine="720"/>
        <w:jc w:val="both"/>
      </w:pPr>
      <w:r>
        <w:rPr>
          <w:rFonts w:ascii="Times New Roman" w:cs="Times New Roman" w:eastAsia="Times New Roman" w:hAnsi="Times New Roman"/>
          <w:b w:val="false"/>
          <w:bCs w:val="false"/>
          <w:i w:val="false"/>
          <w:iCs w:val="false"/>
          <w:sz w:val="24"/>
          <w:szCs w:val="24"/>
        </w:rPr>
        <w:t xml:space="preserve">The following limitations were identified:</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Only 27 primary survey responses were collected from real Cameroonian SME owners; the model relies heavily on MINPMEESA-calibrated records rather than directly observed outcomes.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Profit forecasts depend on owner-reported revenue and cost figures, which may carry reporting bias in informal business settings.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No local LLM fallback was implemented; advisory generation fails if the Groq API is unavailable.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The Next.js web dashboard does not yet have full feature parity with the mobile application.</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All testing was conducted in controlled technical environments; no live user testing with actual SME owners was performed.</w:t>
      </w:r>
    </w:p>
    <w:p>
      <w:pPr>
        <w:spacing w:after="120" w:before="280"/>
      </w:pPr>
      <w:r>
        <w:rPr>
          <w:rFonts w:ascii="Times New Roman" w:cs="Times New Roman" w:eastAsia="Times New Roman" w:hAnsi="Times New Roman"/>
          <w:b/>
          <w:bCs/>
          <w:sz w:val="24"/>
          <w:szCs w:val="24"/>
        </w:rPr>
        <w:t xml:space="preserve">5.5 Recommendations and Future Work</w:t>
      </w:r>
    </w:p>
    <w:p>
      <w:pPr>
        <w:spacing w:after="100"/>
        <w:ind w:firstLine="720"/>
        <w:jc w:val="both"/>
      </w:pPr>
      <w:r>
        <w:rPr>
          <w:rFonts w:ascii="Times New Roman" w:cs="Times New Roman" w:eastAsia="Times New Roman" w:hAnsi="Times New Roman"/>
          <w:b w:val="false"/>
          <w:bCs w:val="false"/>
          <w:i w:val="false"/>
          <w:iCs w:val="false"/>
          <w:sz w:val="24"/>
          <w:szCs w:val="24"/>
        </w:rPr>
        <w:t xml:space="preserve">The following are recommended for the next phase of the project:</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Expand primary data collection to at least 200 Cameroonian SME owners through partnerships with MINPMEESA, chambers of commerce, or microfinance institutions.</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Conduct formal user acceptance testing with a cohort of 30 to 50 SME owners before any public release.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Publish the mobile application on the Google Play Store and Apple App Store to enable real-world usage and feedback.</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Complete the Next.js web dashboard to achieve full feature parity with the mobile client.</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Build the planned debt tracking module, financial ledger, invoice generator, and compliance marketplace to expand the platform into a full operations suite.</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Investigate fine-tuning a locally hosted open-source LLM on Cameroonian business data to remove the dependency on the Groq API.</w:t>
      </w:r>
    </w:p>
    <w:p>
      <w:pPr>
        <w:pStyle w:val="ListParagraph"/>
        <w:numPr>
          <w:ilvl w:val="0"/>
          <w:numId w:val="2"/>
        </w:numPr>
        <w:spacing w:after="80"/>
        <w:jc w:val="both"/>
      </w:pPr>
      <w:r>
        <w:rPr>
          <w:rFonts w:ascii="Times New Roman" w:cs="Times New Roman" w:eastAsia="Times New Roman" w:hAnsi="Times New Roman"/>
          <w:b w:val="false"/>
          <w:bCs w:val="false"/>
          <w:i w:val="false"/>
          <w:iCs w:val="false"/>
          <w:sz w:val="24"/>
          <w:szCs w:val="24"/>
        </w:rPr>
        <w:t xml:space="preserve">Extend the platform to other Francophone African markets such as Cote d'Ivoire, Senegal, and the DRC with region-specific data calibration.</w:t>
      </w:r>
    </w:p>
    <w:p>
      <w:pPr>
        <w:spacing w:after="120" w:before="280"/>
      </w:pPr>
      <w:r>
        <w:rPr>
          <w:rFonts w:ascii="Times New Roman" w:cs="Times New Roman" w:eastAsia="Times New Roman" w:hAnsi="Times New Roman"/>
          <w:b/>
          <w:bCs/>
          <w:sz w:val="24"/>
          <w:szCs w:val="24"/>
        </w:rPr>
        <w:t xml:space="preserve">5.6 Chapter Summary</w:t>
      </w:r>
    </w:p>
    <w:p>
      <w:pPr>
        <w:spacing w:after="100"/>
        <w:ind w:firstLine="720"/>
        <w:jc w:val="both"/>
      </w:pPr>
      <w:r>
        <w:rPr>
          <w:rFonts w:ascii="Times New Roman" w:cs="Times New Roman" w:eastAsia="Times New Roman" w:hAnsi="Times New Roman"/>
          <w:b w:val="false"/>
          <w:bCs w:val="false"/>
          <w:i w:val="false"/>
          <w:iCs w:val="false"/>
          <w:sz w:val="24"/>
          <w:szCs w:val="24"/>
        </w:rPr>
        <w:t xml:space="preserve">BizSense Operations Suite demonstrates that a technically rigorous, deployed predictive platform is achievable for the Cameroonian SME sector even with limited training data. The combination of ensemble classification, survival analysis, and LLM advisory generation addresses a real and underserved problem. The limitations above define a clear development roadmap, and the recommendations in Section 5.5 provide a practical path toward a platform that is both technically robust and genuinely useful to the business owners it serves.</w:t>
      </w:r>
    </w:p>
    <w:p>
      <w:pPr>
        <w:spacing w:after="120" w:before="280"/>
      </w:pPr>
      <w:r>
        <w:rPr>
          <w:rFonts w:ascii="Times New Roman" w:cs="Times New Roman" w:eastAsia="Times New Roman" w:hAnsi="Times New Roman"/>
          <w:b/>
          <w:bCs/>
          <w:sz w:val="24"/>
          <w:szCs w:val="24"/>
        </w:rPr>
        <w:t xml:space="preserve">References</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Cox, D. R. (1972). Regression models and life tables. Journal of the Royal Statistical Society: Series B (Methodological), 34(2), 187-202.</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Expo (2026). Expo SDK 52 documentation. Retrieved from https://docs.expo.dev</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FastAPI (2025). FastAPI framework documentation. Retrieved from https://fastapi.tiangolo.com</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Fielding, R. T. (2000). Architectural styles and the design of network-based software architectures (Doctoral dissertation). University of California, Irvine.</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Groq (2025). Groq API documentation and model specifications. Retrieved from https://console.groq.com/docs</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Ke, G., Meng, Q., Finley, T., Wang, T., Chen, W., Ma, W., Ye, Q., and Liu, T. Y. (2017). LightGBM: A highly efficient gradient boosting decision tree. Advances in Neural Information Processing Systems, 30, 3146-3154.</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Lundberg, S. M., and Lee, S. I. (2017). A unified approach to interpreting model predictions. Advances in Neural Information Processing Systems, 30, 4765-4774.</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MINPMEESA (2022). Rapport annuel sur les PME au Cameroun. Ministere des Petites et Moyennes Entreprises, de l'Economie Sociale et de l'Artisanat, Yaounde.</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Next.js (2026). Next.js 14.2 documentation. Retrieved from https://nextjs.org/docs</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Prokhorenkova, L., Gusev, G., Vorobev, A., Dorogush, A. V., and Gulin, A. (2018). CatBoost: Unbiased boosting with categorical features. Advances in Neural Information Processing Systems, 31, 6638-6648.</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React Native (2026). React Native 0.76 documentation. Retrieved from https://reactnative.dev/docs</w:t>
      </w:r>
    </w:p>
    <w:p>
      <w:pPr>
        <w:spacing w:after="80"/>
        <w:ind w:left="720" w:hanging="720"/>
        <w:jc w:val="both"/>
      </w:pPr>
      <w:r>
        <w:rPr>
          <w:rFonts w:ascii="Times New Roman" w:cs="Times New Roman" w:eastAsia="Times New Roman" w:hAnsi="Times New Roman"/>
          <w:b w:val="false"/>
          <w:bCs w:val="false"/>
          <w:i w:val="false"/>
          <w:iCs w:val="false"/>
          <w:sz w:val="24"/>
          <w:szCs w:val="24"/>
        </w:rPr>
        <w:t xml:space="preserve">Supabase (2026). Supabase platform documentation. Retrieved from https://supabase.com/docs</w:t>
      </w:r>
    </w:p>
    <w:sectPr>
      <w:head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2026-06-13T07:16:39.494Z</dcterms:created>
  <dcterms:modified xsi:type="dcterms:W3CDTF">2026-06-13T07:16:39.501Z</dcterms:modified>
</cp:coreProperties>
</file>

<file path=docProps/custom.xml><?xml version="1.0" encoding="utf-8"?>
<Properties xmlns="http://schemas.openxmlformats.org/officeDocument/2006/custom-properties" xmlns:vt="http://schemas.openxmlformats.org/officeDocument/2006/docPropsVTypes"/>
</file>