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Creating SBTN Land LEAFs: Challenges and Learnings Across Three Soil-Quality Indicators</w:t>
      </w:r>
    </w:p>
    <w:p>
      <w:r>
        <w:rPr>
          <w:i/>
        </w:rPr>
        <w:t>A retrospective on the design, data, and engineering decisions behind the Soil Organic Carbon, Soil Erosion, and Terrestrial Acidification Land Environmental Assessment Factors (LEAFs).</w:t>
      </w:r>
    </w:p>
    <w:p>
      <w:pPr>
        <w:pBdr>
          <w:bottom w:val="single" w:sz="6" w:space="1" w:color="BBBBBB"/>
        </w:pBdr>
      </w:pPr>
    </w:p>
    <w:p>
      <w:pPr>
        <w:pStyle w:val="Heading1"/>
      </w:pPr>
      <w:r>
        <w:rPr/>
        <w:t>Executive Summary</w:t>
      </w:r>
    </w:p>
    <w:p>
      <w:r>
        <w:rPr/>
        <w:t xml:space="preserve">Land Environmental Assessment Factors (LEAFs) are default, location-specific factors that let organizations compare their land use and management practices against ecoregional thresholds and set Science Based Targets Network (SBTN) Land v2 targets. This repository delivers LEAFs for three soil-quality indicators — </w:t>
      </w:r>
      <w:r>
        <w:rPr>
          <w:b/>
        </w:rPr>
        <w:t>Soil Organic Carbon (SOC)</w:t>
      </w:r>
      <w:r>
        <w:rPr/>
        <w:t xml:space="preserve">, </w:t>
      </w:r>
      <w:r>
        <w:rPr>
          <w:b/>
        </w:rPr>
        <w:t>Soil Erosion</w:t>
      </w:r>
      <w:r>
        <w:rPr/>
        <w:t xml:space="preserve">, and </w:t>
      </w:r>
      <w:r>
        <w:rPr>
          <w:b/>
        </w:rPr>
        <w:t>Terrestrial Acidification</w:t>
      </w:r>
      <w:r>
        <w:rPr/>
        <w:t xml:space="preserve"> — together with the open data, documentation, and reproducible workflows needed to extend them.</w:t>
      </w:r>
    </w:p>
    <w:p>
      <w:r>
        <w:rPr/>
        <w:t>Building these three indicators surfaced a consistent set of lessons that are worth carrying into future SBTN work:</w:t>
      </w:r>
    </w:p>
    <w:p>
      <w:pPr>
        <w:pStyle w:val="ListParagraph"/>
      </w:pPr>
      <w:r>
        <w:rPr>
          <w:b/>
        </w:rPr>
        <w:t xml:space="preserve">1. </w:t>
      </w:r>
      <w:r>
        <w:rPr>
          <w:b/>
        </w:rPr>
        <w:t>Match modeling ambition to data availability and decision relevance.</w:t>
      </w:r>
      <w:r>
        <w:rPr/>
        <w:t xml:space="preserve"> The three indicators required very different levels of effort — from a full dynamic simulation to simply adopting and correcting published factors — and resisting the urge to over-engineer the simpler ones was a strategic win.</w:t>
      </w:r>
    </w:p>
    <w:p>
      <w:pPr>
        <w:pStyle w:val="ListParagraph"/>
      </w:pPr>
      <w:r>
        <w:rPr>
          <w:b/>
        </w:rPr>
        <w:t xml:space="preserve">2. </w:t>
      </w:r>
      <w:r>
        <w:rPr>
          <w:b/>
        </w:rPr>
        <w:t>The dominant challenge was data harmonization, not modeling.</w:t>
      </w:r>
      <w:r>
        <w:rPr/>
        <w:t xml:space="preserve"> No single global dataset is complete or shares a common resolution, so most of the effort went into stitching fragmented sources onto a single reference grid and gracefully filling gaps.</w:t>
      </w:r>
    </w:p>
    <w:p>
      <w:pPr>
        <w:pStyle w:val="ListParagraph"/>
      </w:pPr>
      <w:r>
        <w:rPr>
          <w:b/>
        </w:rPr>
        <w:t xml:space="preserve">3. </w:t>
      </w:r>
      <w:r>
        <w:rPr>
          <w:b/>
        </w:rPr>
        <w:t>Translating plot-scale science to a global grid is iterative.</w:t>
      </w:r>
      <w:r>
        <w:rPr/>
        <w:t xml:space="preserve"> Several scientific inputs had to be revisited and recomputed mid-project; the work is never "run once."</w:t>
      </w:r>
    </w:p>
    <w:p>
      <w:pPr>
        <w:pStyle w:val="ListParagraph"/>
      </w:pPr>
      <w:r>
        <w:rPr>
          <w:b/>
        </w:rPr>
        <w:t xml:space="preserve">4. </w:t>
      </w:r>
      <w:r>
        <w:rPr>
          <w:b/>
        </w:rPr>
        <w:t>A research pipeline at global scale must be engineered like production software</w:t>
      </w:r>
      <w:r>
        <w:rPr/>
        <w:t xml:space="preserve"> — with fault tolerance, testing, and validation across every geographic scale — because multi-hour runs and scale-dependent bugs are the norm.</w:t>
      </w:r>
    </w:p>
    <w:p>
      <w:pPr>
        <w:pStyle w:val="ListParagraph"/>
      </w:pPr>
      <w:r>
        <w:rPr>
          <w:b/>
        </w:rPr>
        <w:t xml:space="preserve">5. </w:t>
      </w:r>
      <w:r>
        <w:rPr>
          <w:b/>
        </w:rPr>
        <w:t>The "last mile" — aggregating raw maps into clean, decision-ready factors — is as important as the modeling itself</w:t>
      </w:r>
      <w:r>
        <w:rPr/>
        <w:t xml:space="preserve"> for the LEAFs to be usable and trustworthy.</w:t>
      </w:r>
    </w:p>
    <w:p>
      <w:r>
        <w:rPr/>
        <w:t>The remainder of this report develops these themes and closes with consolidated recommendations and an honest account of the work that remains.</w:t>
      </w:r>
    </w:p>
    <w:p>
      <w:pPr>
        <w:pBdr>
          <w:bottom w:val="single" w:sz="6" w:space="1" w:color="BBBBBB"/>
        </w:pBdr>
      </w:pPr>
    </w:p>
    <w:p>
      <w:pPr>
        <w:pStyle w:val="Heading1"/>
      </w:pPr>
      <w:r>
        <w:rPr/>
        <w:t>Background: What We Built and Why</w:t>
      </w:r>
    </w:p>
    <w:p>
      <w:r>
        <w:rPr/>
        <w:t xml:space="preserve">A LEAF answers a deceptively simple question for a company sourcing a commodity: </w:t>
      </w:r>
      <w:r>
        <w:rPr>
          <w:i/>
        </w:rPr>
        <w:t>given where this is grown and how it is managed, what is the expected impact on this soil-quality indicator, and how does that compare to a safe operating threshold?</w:t>
      </w:r>
      <w:r>
        <w:rPr/>
        <w:t xml:space="preserve"> To answer it consistently for any commodity, anywhere in the world, each indicator passes through four broad stages:</w:t>
      </w:r>
    </w:p>
    <w:p>
      <w:pPr>
        <w:pStyle w:val="ListParagraph"/>
      </w:pPr>
      <w:r>
        <w:rPr>
          <w:b/>
        </w:rPr>
        <w:t xml:space="preserve">1. </w:t>
      </w:r>
      <w:r>
        <w:rPr>
          <w:b/>
        </w:rPr>
        <w:t>Gather</w:t>
      </w:r>
      <w:r>
        <w:rPr/>
        <w:t xml:space="preserve"> global input data (climate, soils, crop yields, land use).</w:t>
      </w:r>
    </w:p>
    <w:p>
      <w:pPr>
        <w:pStyle w:val="ListParagraph"/>
      </w:pPr>
      <w:r>
        <w:rPr>
          <w:b/>
        </w:rPr>
        <w:t xml:space="preserve">2. </w:t>
      </w:r>
      <w:r>
        <w:rPr>
          <w:b/>
        </w:rPr>
        <w:t>Harmonize</w:t>
      </w:r>
      <w:r>
        <w:rPr/>
        <w:t xml:space="preserve"> every input onto a common spatial grid and projection.</w:t>
      </w:r>
    </w:p>
    <w:p>
      <w:pPr>
        <w:pStyle w:val="ListParagraph"/>
      </w:pPr>
      <w:r>
        <w:rPr>
          <w:b/>
        </w:rPr>
        <w:t xml:space="preserve">3. </w:t>
      </w:r>
      <w:r>
        <w:rPr>
          <w:b/>
        </w:rPr>
        <w:t>Model or compute</w:t>
      </w:r>
      <w:r>
        <w:rPr/>
        <w:t xml:space="preserve"> the indicator value for each location and management option.</w:t>
      </w:r>
    </w:p>
    <w:p>
      <w:pPr>
        <w:pStyle w:val="ListParagraph"/>
      </w:pPr>
      <w:r>
        <w:rPr>
          <w:b/>
        </w:rPr>
        <w:t xml:space="preserve">4. </w:t>
      </w:r>
      <w:r>
        <w:rPr>
          <w:b/>
        </w:rPr>
        <w:t>Aggregate</w:t>
      </w:r>
      <w:r>
        <w:rPr/>
        <w:t xml:space="preserve"> the resulting maps into representative factors for ecoregions, countries, and subcountry regions that companies can actually look up.</w:t>
      </w:r>
    </w:p>
    <w:p>
      <w:r>
        <w:rPr/>
        <w:t>The three indicators differ most in stage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What it measures</w:t>
            </w:r>
          </w:p>
        </w:tc>
        <w:tc>
          <w:tcPr>
            <w:tcW w:type="dxa" w:w="1728"/>
          </w:tcPr>
          <w:p>
            <w:r>
              <w:rPr>
                <w:b/>
              </w:rPr>
              <w:t>Unit</w:t>
            </w:r>
          </w:p>
        </w:tc>
        <w:tc>
          <w:tcPr>
            <w:tcW w:type="dxa" w:w="1728"/>
          </w:tcPr>
          <w:p>
            <w:r>
              <w:rPr>
                <w:b/>
              </w:rPr>
              <w:t>Underlying method</w:t>
            </w:r>
          </w:p>
        </w:tc>
        <w:tc>
          <w:tcPr>
            <w:tcW w:type="dxa" w:w="1728"/>
          </w:tcPr>
          <w:p>
            <w:r>
              <w:rPr>
                <w:b/>
              </w:rPr>
              <w:t>Native resolution</w:t>
            </w:r>
          </w:p>
        </w:tc>
      </w:tr>
      <w:tr>
        <w:tc>
          <w:tcPr>
            <w:tcW w:type="dxa" w:w="1728"/>
          </w:tcPr>
          <w:p>
            <w:r>
              <w:rPr>
                <w:b/>
              </w:rPr>
              <w:t>Soil Organic Carbon</w:t>
            </w:r>
          </w:p>
        </w:tc>
        <w:tc>
          <w:tcPr>
            <w:tcW w:type="dxa" w:w="1728"/>
          </w:tcPr>
          <w:p>
            <w:r>
              <w:rPr/>
              <w:t>Estimated SOC stock on the land</w:t>
            </w:r>
          </w:p>
        </w:tc>
        <w:tc>
          <w:tcPr>
            <w:tcW w:type="dxa" w:w="1728"/>
          </w:tcPr>
          <w:p>
            <w:r>
              <w:rPr/>
              <w:t>t C/ha</w:t>
            </w:r>
          </w:p>
        </w:tc>
        <w:tc>
          <w:tcPr>
            <w:tcW w:type="dxa" w:w="1728"/>
          </w:tcPr>
          <w:p>
            <w:r>
              <w:rPr/>
              <w:t>RothC dynamic soil-carbon model, projected to 2030 from a 2016 baseline</w:t>
            </w:r>
          </w:p>
        </w:tc>
        <w:tc>
          <w:tcPr>
            <w:tcW w:type="dxa" w:w="1728"/>
          </w:tcPr>
          <w:p>
            <w:r>
              <w:rPr/>
              <w:t>~9 km (1/12°)</w:t>
            </w:r>
          </w:p>
        </w:tc>
      </w:tr>
      <w:tr>
        <w:tc>
          <w:tcPr>
            <w:tcW w:type="dxa" w:w="1728"/>
          </w:tcPr>
          <w:p>
            <w:r>
              <w:rPr>
                <w:b/>
              </w:rPr>
              <w:t>Soil Erosion</w:t>
            </w:r>
          </w:p>
        </w:tc>
        <w:tc>
          <w:tcPr>
            <w:tcW w:type="dxa" w:w="1728"/>
          </w:tcPr>
          <w:p>
            <w:r>
              <w:rPr/>
              <w:t>Annual soil loss</w:t>
            </w:r>
          </w:p>
        </w:tc>
        <w:tc>
          <w:tcPr>
            <w:tcW w:type="dxa" w:w="1728"/>
          </w:tcPr>
          <w:p>
            <w:r>
              <w:rPr/>
              <w:t>t soil/ha/yr</w:t>
            </w:r>
          </w:p>
        </w:tc>
        <w:tc>
          <w:tcPr>
            <w:tcW w:type="dxa" w:w="1728"/>
          </w:tcPr>
          <w:p>
            <w:r>
              <w:rPr/>
              <w:t>RUSLE (Revised Universal Soil Loss Equation)</w:t>
            </w:r>
          </w:p>
        </w:tc>
        <w:tc>
          <w:tcPr>
            <w:tcW w:type="dxa" w:w="1728"/>
          </w:tcPr>
          <w:p>
            <w:r>
              <w:rPr/>
              <w:t>25 km</w:t>
            </w:r>
          </w:p>
        </w:tc>
      </w:tr>
      <w:tr>
        <w:tc>
          <w:tcPr>
            <w:tcW w:type="dxa" w:w="1728"/>
          </w:tcPr>
          <w:p>
            <w:r>
              <w:rPr>
                <w:b/>
              </w:rPr>
              <w:t>Terrestrial Acidification</w:t>
            </w:r>
          </w:p>
        </w:tc>
        <w:tc>
          <w:tcPr>
            <w:tcW w:type="dxa" w:w="1728"/>
          </w:tcPr>
          <w:p>
            <w:r>
              <w:rPr/>
              <w:t>Soil acidification potential of emitted gases</w:t>
            </w:r>
          </w:p>
        </w:tc>
        <w:tc>
          <w:tcPr>
            <w:tcW w:type="dxa" w:w="1728"/>
          </w:tcPr>
          <w:p>
            <w:r>
              <w:rPr/>
              <w:t>kg SO₂-eq./kg</w:t>
            </w:r>
          </w:p>
        </w:tc>
        <w:tc>
          <w:tcPr>
            <w:tcW w:type="dxa" w:w="1728"/>
          </w:tcPr>
          <w:p>
            <w:r>
              <w:rPr/>
              <w:t>Published characterization factors (Roy et al., 2014)</w:t>
            </w:r>
          </w:p>
        </w:tc>
        <w:tc>
          <w:tcPr>
            <w:tcW w:type="dxa" w:w="1728"/>
          </w:tcPr>
          <w:p>
            <w:r>
              <w:rPr/>
              <w:t>~2° × 2.5°</w:t>
            </w:r>
          </w:p>
        </w:tc>
      </w:tr>
    </w:tbl>
    <w:p>
      <w:r>
        <w:rPr/>
        <w:t>All three were ultimately delivered for 42 land-use classes (28 agricultural, 15 forest, 1 grassland) and aggregated to ecoregion, country, and subcountry levels.</w:t>
      </w:r>
    </w:p>
    <w:p>
      <w:pPr>
        <w:pBdr>
          <w:bottom w:val="single" w:sz="6" w:space="1" w:color="BBBBBB"/>
        </w:pBdr>
      </w:pPr>
    </w:p>
    <w:p>
      <w:pPr>
        <w:pStyle w:val="Heading1"/>
      </w:pPr>
      <w:r>
        <w:rPr/>
        <w:t>A Spectrum of Modeling Ambition</w:t>
      </w:r>
    </w:p>
    <w:p>
      <w:r>
        <w:rPr/>
        <w:t xml:space="preserve">The single most useful strategic learning was that </w:t>
      </w:r>
      <w:r>
        <w:rPr>
          <w:b/>
        </w:rPr>
        <w:t>the three indicators sit on a spectrum of modeling effort, and that this is a feature, not an inconsistency.</w:t>
      </w:r>
    </w:p>
    <w:p>
      <w:pPr>
        <w:pStyle w:val="ListBullet"/>
      </w:pPr>
      <w:r>
        <w:rPr>
          <w:b/>
        </w:rPr>
        <w:t>Soil Organic Carbon</w:t>
      </w:r>
      <w:r>
        <w:rPr/>
        <w:t xml:space="preserve"> sits at the demanding end. It uses RothC, a </w:t>
      </w:r>
      <w:r>
        <w:rPr>
          <w:i/>
        </w:rPr>
        <w:t>dynamic process model</w:t>
      </w:r>
      <w:r>
        <w:rPr/>
        <w:t xml:space="preserve"> that simulates monthly carbon turnover across five soil pools, driven by temperature, moisture, soil texture, plant cover, and organic-matter inputs. Producing a single SOC LEAF means assembling a dozen distinct inputs and running a time-stepped simulation forward to 2030.</w:t>
      </w:r>
    </w:p>
    <w:p>
      <w:pPr>
        <w:pStyle w:val="ListBullet"/>
      </w:pPr>
      <w:r>
        <w:rPr>
          <w:b/>
        </w:rPr>
        <w:t>Soil Erosion</w:t>
      </w:r>
      <w:r>
        <w:rPr/>
        <w:t xml:space="preserve"> sits in the middle. RUSLE reduces erosion to a </w:t>
      </w:r>
      <w:r>
        <w:rPr>
          <w:i/>
        </w:rPr>
        <w:t>product of five factors</w:t>
      </w:r>
      <w:r>
        <w:rPr/>
        <w:t xml:space="preserve"> (rainfall erosivity, soil erodibility, slope, ground cover, and protection). Because three of those factors depend only on soil and weather — not on the crop — they could be pre-combined into a single reusable base layer, leaving only a cover-and-management factor to vary by commodity. This turned a potentially heavy computation into a lightweight multiplication.</w:t>
      </w:r>
    </w:p>
    <w:p>
      <w:pPr>
        <w:pStyle w:val="ListBullet"/>
      </w:pPr>
      <w:r>
        <w:rPr>
          <w:b/>
        </w:rPr>
        <w:t>Terrestrial Acidification</w:t>
      </w:r>
      <w:r>
        <w:rPr/>
        <w:t xml:space="preserve"> sits at the light end. Robust, peer-reviewed characterization factors already existed (Roy et al., 2014, as used in the IMPACT World+ method), so </w:t>
      </w:r>
      <w:r>
        <w:rPr>
          <w:i/>
        </w:rPr>
        <w:t>no new modeling was performed at all</w:t>
      </w:r>
      <w:r>
        <w:rPr/>
        <w:t>. The work was limited to correcting calculation errors in the source, normalizing the factors to a common SO₂-equivalent basis, and re-gridding them.</w:t>
      </w:r>
    </w:p>
    <w:p>
      <w:r>
        <w:rPr/>
        <w:t xml:space="preserve">The learning: </w:t>
      </w:r>
      <w:r>
        <w:rPr>
          <w:b/>
        </w:rPr>
        <w:t>invest scientific and computational effort where it changes decisions and where good factors do not already exist.</w:t>
      </w:r>
      <w:r>
        <w:rPr/>
        <w:t xml:space="preserve"> Spending the same modeling budget on acidification that SOC required would have added cost without adding accuracy or insight. Conversely, the deliberate pre-computation of the erosion base layer shows how a small amount of up-front design dramatically simplified everything downstream.</w:t>
      </w:r>
    </w:p>
    <w:p>
      <w:pPr>
        <w:pBdr>
          <w:bottom w:val="single" w:sz="6" w:space="1" w:color="BBBBBB"/>
        </w:pBdr>
      </w:pPr>
    </w:p>
    <w:p>
      <w:pPr>
        <w:pStyle w:val="Heading1"/>
      </w:pPr>
      <w:r>
        <w:rPr/>
        <w:t>Challenge 1 — Stitching Together a Fragmented Global Data Landscape</w:t>
      </w:r>
    </w:p>
    <w:p>
      <w:r>
        <w:rPr/>
        <w:t xml:space="preserve">By far the largest share of effort went not into the science of any single model but into </w:t>
      </w:r>
      <w:r>
        <w:rPr>
          <w:b/>
        </w:rPr>
        <w:t>making fundamentally incompatible datasets work together.</w:t>
      </w:r>
      <w:r>
        <w:rPr/>
        <w:t xml:space="preserve"> The necessary inputs came from many institutions, each with its own resolution, projection, and coverage: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Source</w:t>
            </w:r>
          </w:p>
        </w:tc>
        <w:tc>
          <w:tcPr>
            <w:tcW w:type="dxa" w:w="2880"/>
          </w:tcPr>
          <w:p>
            <w:r>
              <w:rPr>
                <w:b/>
              </w:rPr>
              <w:t>Native resolution</w:t>
            </w:r>
          </w:p>
        </w:tc>
      </w:tr>
      <w:tr>
        <w:tc>
          <w:tcPr>
            <w:tcW w:type="dxa" w:w="2880"/>
          </w:tcPr>
          <w:p>
            <w:r>
              <w:rPr/>
              <w:t>Precipitation</w:t>
            </w:r>
          </w:p>
        </w:tc>
        <w:tc>
          <w:tcPr>
            <w:tcW w:type="dxa" w:w="2880"/>
          </w:tcPr>
          <w:p>
            <w:r>
              <w:rPr/>
              <w:t>NASA GPM (IMERG)</w:t>
            </w:r>
          </w:p>
        </w:tc>
        <w:tc>
          <w:tcPr>
            <w:tcW w:type="dxa" w:w="2880"/>
          </w:tcPr>
          <w:p>
            <w:r>
              <w:rPr/>
              <w:t>~0.1°</w:t>
            </w:r>
          </w:p>
        </w:tc>
      </w:tr>
      <w:tr>
        <w:tc>
          <w:tcPr>
            <w:tcW w:type="dxa" w:w="2880"/>
          </w:tcPr>
          <w:p>
            <w:r>
              <w:rPr/>
              <w:t>Temperature</w:t>
            </w:r>
          </w:p>
        </w:tc>
        <w:tc>
          <w:tcPr>
            <w:tcW w:type="dxa" w:w="2880"/>
          </w:tcPr>
          <w:p>
            <w:r>
              <w:rPr/>
              <w:t>NASA GLDAS</w:t>
            </w:r>
          </w:p>
        </w:tc>
        <w:tc>
          <w:tcPr>
            <w:tcW w:type="dxa" w:w="2880"/>
          </w:tcPr>
          <w:p>
            <w:r>
              <w:rPr/>
              <w:t>~1.0°</w:t>
            </w:r>
          </w:p>
        </w:tc>
      </w:tr>
      <w:tr>
        <w:tc>
          <w:tcPr>
            <w:tcW w:type="dxa" w:w="2880"/>
          </w:tcPr>
          <w:p>
            <w:r>
              <w:rPr/>
              <w:t>Soil carbon, clay, sand</w:t>
            </w:r>
          </w:p>
        </w:tc>
        <w:tc>
          <w:tcPr>
            <w:tcW w:type="dxa" w:w="2880"/>
          </w:tcPr>
          <w:p>
            <w:r>
              <w:rPr/>
              <w:t>ISRIC SoilGrids</w:t>
            </w:r>
          </w:p>
        </w:tc>
        <w:tc>
          <w:tcPr>
            <w:tcW w:type="dxa" w:w="2880"/>
          </w:tcPr>
          <w:p>
            <w:r>
              <w:rPr/>
              <w:t>~250 m</w:t>
            </w:r>
          </w:p>
        </w:tc>
      </w:tr>
      <w:tr>
        <w:tc>
          <w:tcPr>
            <w:tcW w:type="dxa" w:w="2880"/>
          </w:tcPr>
          <w:p>
            <w:r>
              <w:rPr/>
              <w:t>Erosion base factors</w:t>
            </w:r>
          </w:p>
        </w:tc>
        <w:tc>
          <w:tcPr>
            <w:tcW w:type="dxa" w:w="2880"/>
          </w:tcPr>
          <w:p>
            <w:r>
              <w:rPr/>
              <w:t>GloSEM (JRC)</w:t>
            </w:r>
          </w:p>
        </w:tc>
        <w:tc>
          <w:tcPr>
            <w:tcW w:type="dxa" w:w="2880"/>
          </w:tcPr>
          <w:p>
            <w:r>
              <w:rPr/>
              <w:t>25 km</w:t>
            </w:r>
          </w:p>
        </w:tc>
      </w:tr>
      <w:tr>
        <w:tc>
          <w:tcPr>
            <w:tcW w:type="dxa" w:w="2880"/>
          </w:tcPr>
          <w:p>
            <w:r>
              <w:rPr/>
              <w:t>Acidification factors</w:t>
            </w:r>
          </w:p>
        </w:tc>
        <w:tc>
          <w:tcPr>
            <w:tcW w:type="dxa" w:w="2880"/>
          </w:tcPr>
          <w:p>
            <w:r>
              <w:rPr/>
              <w:t>Roy et al. (2014)</w:t>
            </w:r>
          </w:p>
        </w:tc>
        <w:tc>
          <w:tcPr>
            <w:tcW w:type="dxa" w:w="2880"/>
          </w:tcPr>
          <w:p>
            <w:r>
              <w:rPr/>
              <w:t>~2° × 2.5°</w:t>
            </w:r>
          </w:p>
        </w:tc>
      </w:tr>
      <w:tr>
        <w:tc>
          <w:tcPr>
            <w:tcW w:type="dxa" w:w="2880"/>
          </w:tcPr>
          <w:p>
            <w:r>
              <w:rPr/>
              <w:t>Crop yields</w:t>
            </w:r>
          </w:p>
        </w:tc>
        <w:tc>
          <w:tcPr>
            <w:tcW w:type="dxa" w:w="2880"/>
          </w:tcPr>
          <w:p>
            <w:r>
              <w:rPr/>
              <w:t>FAOSTAT (country) + SPAM (gridded)</w:t>
            </w:r>
          </w:p>
        </w:tc>
        <w:tc>
          <w:tcPr>
            <w:tcW w:type="dxa" w:w="2880"/>
          </w:tcPr>
          <w:p>
            <w:r>
              <w:rPr/>
              <w:t>mixed</w:t>
            </w:r>
          </w:p>
        </w:tc>
      </w:tr>
    </w:tbl>
    <w:p>
      <w:r>
        <w:rPr/>
        <w:t>Reconciling resolutions that span four orders of magnitude was a recurring tax on the project. Two design choices proved decisive:</w:t>
      </w:r>
    </w:p>
    <w:p>
      <w:r>
        <w:rPr>
          <w:b/>
        </w:rPr>
        <w:t>A single reference grid as the backbone.</w:t>
      </w:r>
      <w:r>
        <w:rPr/>
        <w:t xml:space="preserve"> Every input was resampled onto a common base — the UHTH ecoregion zoning derived from earlier published work (Morais, Teixeira &amp; Domingos, 2019, following FAO GAEZ suitability maps). Having one canonical grid that all indicators share meant harmonization logic could be written once and reused, and that results across indicators remain spatially comparable.</w:t>
      </w:r>
    </w:p>
    <w:p>
      <w:r>
        <w:rPr>
          <w:b/>
        </w:rPr>
        <w:t>A layered "best-available" strategy for crop yields.</w:t>
      </w:r>
      <w:r>
        <w:rPr/>
        <w:t xml:space="preserve"> Yields are a critical SOC input (they drive how much plant residue returns carbon to the soil), yet no single dataset covers every crop in every location. The solution was a prioritized fallback: use gridded SPAM yields where available; otherwise fall back to country-level FAOSTAT averages adjusted for irrigation practice; then to ecoregion averages; then to broader biome averages; and finally to a nearest-neighbor fill. This cascade guarantees a complete global surface while always preferring the most specific data available — a pragmatic answer to pervasive data gaps that recurs throughout environmental modeling.</w:t>
      </w:r>
    </w:p>
    <w:p>
      <w:r>
        <w:rPr>
          <w:b/>
        </w:rPr>
        <w:t>Provenance and openness tension.</w:t>
      </w:r>
      <w:r>
        <w:rPr/>
        <w:t xml:space="preserve"> Some inputs (notably the acidification factors) were obtained directly from the original authors rather than a public portal, and the largest datasets — global rasters and intermediate outputs — are simply too big to live inside a public Git repository. This created an ongoing tension between full reproducibility and practical distribution that the project is still resolving (several "where will we host this data" questions remain open in the documentation). The learning is to </w:t>
      </w:r>
      <w:r>
        <w:rPr>
          <w:b/>
        </w:rPr>
        <w:t>budget for data hosting and provenance from the start</w:t>
      </w:r>
      <w:r>
        <w:rPr/>
        <w:t>, treating them as first-class deliverables rather than afterthoughts.</w:t>
      </w:r>
    </w:p>
    <w:p>
      <w:pPr>
        <w:pBdr>
          <w:bottom w:val="single" w:sz="6" w:space="1" w:color="BBBBBB"/>
        </w:pBdr>
      </w:pPr>
    </w:p>
    <w:p>
      <w:pPr>
        <w:pStyle w:val="Heading1"/>
      </w:pPr>
      <w:r>
        <w:rPr/>
        <w:t>Challenge 2 — Translating Scientific Models to a Global, Operational Scale</w:t>
      </w:r>
    </w:p>
    <w:p>
      <w:r>
        <w:rPr/>
        <w:t xml:space="preserve">The published science behind these indicators was largely developed and validated at the scale of a plot, a field, or a research station. Operationalizing it for </w:t>
      </w:r>
      <w:r>
        <w:rPr>
          <w:i/>
        </w:rPr>
        <w:t>every commodity, everywhere</w:t>
      </w:r>
      <w:r>
        <w:rPr/>
        <w:t xml:space="preserve"> introduced challenges that the original science never had to confront.</w:t>
      </w:r>
    </w:p>
    <w:p>
      <w:r>
        <w:rPr>
          <w:b/>
        </w:rPr>
        <w:t>From a point to a planet.</w:t>
      </w:r>
      <w:r>
        <w:rPr/>
        <w:t xml:space="preserve"> Models like RothC and the Thornthwaite evapotranspiration method were conceived as single-location calculations. They had to be re-expressed to run across global raster grids — for example, evapotranspiration depends on day length, which varies continuously with latitude and month and therefore had to be computed cell by cell across the entire map. The project ultimately maintains both a simple single-point version (useful for understanding one farm) and a full gridded version (for global coverage), which is itself a useful pattern for balancing interpretability against scale.</w:t>
      </w:r>
    </w:p>
    <w:p>
      <w:r>
        <w:rPr>
          <w:b/>
        </w:rPr>
        <w:t>A combinatorial explosion of management options.</w:t>
      </w:r>
      <w:r>
        <w:rPr/>
        <w:t xml:space="preserve"> A central purpose of LEAFs is to let companies compare </w:t>
      </w:r>
      <w:r>
        <w:rPr>
          <w:i/>
        </w:rPr>
        <w:t>practices</w:t>
      </w:r>
      <w:r>
        <w:rPr/>
        <w:t>, not just locations — rainfed versus irrigated, conventional versus conservation tillage, residues left on or removed from the field, with or without cover crops. These options multiply: for cereals alone, SOC required up to eight distinct scenario combinations per crop, and each new option (such as conservation tillage, which had to be adapted from a separate published method) multiplies the number of model runs and outputs to manage. Designing the pipeline so that management options compose cleanly — and so that a new option does not require rewriting the core model — was essential to keeping the work tractable.</w:t>
      </w:r>
    </w:p>
    <w:p>
      <w:r>
        <w:rPr>
          <w:b/>
        </w:rPr>
        <w:t>Science is iterative, even after "completion."</w:t>
      </w:r>
      <w:r>
        <w:rPr/>
        <w:t xml:space="preserve"> Perhaps the most honest learning is that several methodological inputs had to be discovered to be wrong, corrected, and re-run well into the project. The evapotranspiration inputs were recomputed and replaced; the timing of how crop residues are returned to the soil over the year was revised; the definition of which months count as "soil-covered" was corrected; and at one point the land-management cover factors were found not to be flowing correctly into the SOC results, forcing a regeneration of outputs. None of these were failures of competence — they are the normal texture of building a complex scientific pipeline. The practical consequence is that </w:t>
      </w:r>
      <w:r>
        <w:rPr>
          <w:b/>
        </w:rPr>
        <w:t>the system must be built to be re-run cheaply and often</w:t>
      </w:r>
      <w:r>
        <w:rPr/>
        <w:t>, because "run once and publish" is not how this work actually proceeds.</w:t>
      </w:r>
    </w:p>
    <w:p>
      <w:pPr>
        <w:pBdr>
          <w:bottom w:val="single" w:sz="6" w:space="1" w:color="BBBBBB"/>
        </w:pBdr>
      </w:pPr>
    </w:p>
    <w:p>
      <w:pPr>
        <w:pStyle w:val="Heading1"/>
      </w:pPr>
      <w:r>
        <w:rPr/>
        <w:t>Challenge 3 — Engineering for Scale, Reliability, and Reproducibility</w:t>
      </w:r>
    </w:p>
    <w:p>
      <w:r>
        <w:rPr/>
        <w:t>Producing LEAFs globally is a genuinely large computation, and treating the code as throwaway research scripts would not have survived contact with that scale. Several engineering lessons emerged.</w:t>
      </w:r>
    </w:p>
    <w:p>
      <w:r>
        <w:rPr>
          <w:b/>
        </w:rPr>
        <w:t>Long runs demand fault tolerance.</w:t>
      </w:r>
      <w:r>
        <w:rPr/>
        <w:t xml:space="preserve"> Generating factors across thousands of subcountry regions and dozens of rasters can take hours. A single crash, timeout, or power interruption partway through was expensive enough that the team built a </w:t>
      </w:r>
      <w:r>
        <w:rPr>
          <w:b/>
        </w:rPr>
        <w:t>checkpoint-and-resume system</w:t>
      </w:r>
      <w:r>
        <w:rPr/>
        <w:t>: each unit of work is saved as it completes, so an interrupted run can pick up where it left off instead of starting over. Checkpoints are written atomically so an interruption can never leave a corrupted result. This fault-tolerance work was not "extra" — at this scale it was the difference between a pipeline that finishes and one that perpetually restarts.</w:t>
      </w:r>
    </w:p>
    <w:p>
      <w:r>
        <w:rPr>
          <w:b/>
        </w:rPr>
        <w:t>Bugs hide at scale.</w:t>
      </w:r>
      <w:r>
        <w:rPr/>
        <w:t xml:space="preserve"> A recurring and somewhat counterintuitive lesson was that code which worked perfectly at one geographic level failed at another — logic validated on a few hundred countries broke on thousands of ecoregions or subcountry units, where memory and performance behave differently. On more than one occasion the team deliberately </w:t>
      </w:r>
      <w:r>
        <w:rPr>
          <w:b/>
        </w:rPr>
        <w:t>reverted a faster implementation in favor of a slower one that was correct at every scale.</w:t>
      </w:r>
      <w:r>
        <w:rPr/>
        <w:t xml:space="preserve"> The takeaway is to validate across the full range of real inputs, not a convenient subset, and to treat correctness as non-negotiable relative to speed.</w:t>
      </w:r>
    </w:p>
    <w:p>
      <w:r>
        <w:rPr>
          <w:b/>
        </w:rPr>
        <w:t>Reproducibility involves real trade-offs.</w:t>
      </w:r>
      <w:r>
        <w:rPr/>
        <w:t xml:space="preserve"> Beyond the data-hosting issue already noted, the project repeatedly chose to </w:t>
      </w:r>
      <w:r>
        <w:rPr>
          <w:i/>
        </w:rPr>
        <w:t>lock</w:t>
      </w:r>
      <w:r>
        <w:rPr/>
        <w:t xml:space="preserve"> input dataset versions — keeping an older version of a reference dataset even after a newer one was released — specifically so that new outputs stay consistent and comparable with the established methodology. Reproducibility is not free: it sometimes means forgoing the latest data to preserve a coherent baseline, and that trade-off should be made deliberately and documented.</w:t>
      </w:r>
    </w:p>
    <w:p>
      <w:r>
        <w:rPr>
          <w:b/>
        </w:rPr>
        <w:t>Testing as a safety net.</w:t>
      </w:r>
      <w:r>
        <w:rPr/>
        <w:t xml:space="preserve"> The presence of an automated test suite covering the core scientific calculations and the parallel processing paths reflects a mature recognition that, in a pipeline this interconnected, a small change in one place can silently corrupt distant results. Tests are how a project of this complexity keeps iterating without regressing.</w:t>
      </w:r>
    </w:p>
    <w:p>
      <w:pPr>
        <w:pBdr>
          <w:bottom w:val="single" w:sz="6" w:space="1" w:color="BBBBBB"/>
        </w:pBdr>
      </w:pPr>
    </w:p>
    <w:p>
      <w:pPr>
        <w:pStyle w:val="Heading1"/>
      </w:pPr>
      <w:r>
        <w:rPr/>
        <w:t>Challenge 4 — From Raw Maps to Decision-Ready Factors</w:t>
      </w:r>
    </w:p>
    <w:p>
      <w:r>
        <w:rPr/>
        <w:t>A global raster of model outputs is not yet something a company can use. The final stage — turning pixels into a small, trustworthy set of lookup values — carried its own challenges and lessons.</w:t>
      </w:r>
    </w:p>
    <w:p>
      <w:r>
        <w:rPr>
          <w:b/>
        </w:rPr>
        <w:t>Aggregation and representativeness.</w:t>
      </w:r>
      <w:r>
        <w:rPr/>
        <w:t xml:space="preserve"> Results are summarized to ecoregion, country, and subcountry levels. A clear lesson, surfaced directly in the guidance to users, is that </w:t>
      </w:r>
      <w:r>
        <w:rPr>
          <w:b/>
        </w:rPr>
        <w:t>the coarsest aggregation is the least trustworthy</w:t>
      </w:r>
      <w:r>
        <w:rPr/>
        <w:t>: country averages can blend wildly different growing conditions and are recommended only as a last resort, with ecoregion-level factors being far more representative. Communicating these representativeness caveats is part of delivering the factors responsibly.</w:t>
      </w:r>
    </w:p>
    <w:p>
      <w:r>
        <w:rPr>
          <w:b/>
        </w:rPr>
        <w:t>Outlier handling.</w:t>
      </w:r>
      <w:r>
        <w:rPr/>
        <w:t xml:space="preserve"> A handful of extreme pixels — often artifacts of sparse input data — can badly distort an aggregated factor. Considerable effort went into filtering strategies so that anomalous values do not propagate into the published numbers, while genuine variation is preserved. Notably, this was </w:t>
      </w:r>
      <w:r>
        <w:rPr>
          <w:i/>
        </w:rPr>
        <w:t>not</w:t>
      </w:r>
      <w:r>
        <w:rPr/>
        <w:t xml:space="preserve"> applied uniformly: acidification, whose factors are well-behaved across their coverage, needed no such filtering. Knowing when robust statistics are necessary and when they are unnecessary overhead is itself a useful judgment.</w:t>
      </w:r>
    </w:p>
    <w:p>
      <w:r>
        <w:rPr>
          <w:b/>
        </w:rPr>
        <w:t>The last mile matters.</w:t>
      </w:r>
      <w:r>
        <w:rPr/>
        <w:t xml:space="preserve"> It would be easy to view aggregation and quality control as clean-up after the "real" modeling. In practice this stage determines whether the LEAFs are usable, comparable, and credible — and it absorbed a meaningful share of the project's debugging effort (including a late discovery that erosion averages had been computed incorrectly and had to be regenerated). The last mile deserves the same rigor as the science.</w:t>
      </w:r>
    </w:p>
    <w:p>
      <w:pPr>
        <w:pBdr>
          <w:bottom w:val="single" w:sz="6" w:space="1" w:color="BBBBBB"/>
        </w:pBdr>
      </w:pPr>
    </w:p>
    <w:p>
      <w:pPr>
        <w:pStyle w:val="Heading1"/>
      </w:pPr>
      <w:r>
        <w:rPr/>
        <w:t>Key Learnings and Recommendations</w:t>
      </w:r>
    </w:p>
    <w:p>
      <w:r>
        <w:rPr>
          <w:b/>
        </w:rPr>
        <w:t>Strategy</w:t>
      </w:r>
    </w:p>
    <w:p>
      <w:pPr>
        <w:pStyle w:val="ListBullet"/>
      </w:pPr>
      <w:r>
        <w:rPr/>
        <w:t>Calibrate modeling effort to data availability and decision relevance; adopt and correct existing factors where they are sound rather than rebuilding them.</w:t>
      </w:r>
    </w:p>
    <w:p>
      <w:pPr>
        <w:pStyle w:val="ListBullet"/>
      </w:pPr>
      <w:r>
        <w:rPr/>
        <w:t>A small amount of up-front design (e.g., pre-combining invariant factors into a reusable base layer) pays large dividends downstream.</w:t>
      </w:r>
    </w:p>
    <w:p>
      <w:r>
        <w:rPr>
          <w:b/>
        </w:rPr>
        <w:t>Data</w:t>
      </w:r>
    </w:p>
    <w:p>
      <w:pPr>
        <w:pStyle w:val="ListBullet"/>
      </w:pPr>
      <w:r>
        <w:rPr/>
        <w:t>Standardize on a single reference grid early and write harmonization logic once; it is the backbone everything else depends on.</w:t>
      </w:r>
    </w:p>
    <w:p>
      <w:pPr>
        <w:pStyle w:val="ListBullet"/>
      </w:pPr>
      <w:r>
        <w:rPr/>
        <w:t>Expect incomplete data and design explicit, prioritized fallback strategies rather than ad-hoc patches.</w:t>
      </w:r>
    </w:p>
    <w:p>
      <w:pPr>
        <w:pStyle w:val="ListBullet"/>
      </w:pPr>
      <w:r>
        <w:rPr/>
        <w:t>Treat data hosting and provenance as first-class deliverables, planned from the outset.</w:t>
      </w:r>
    </w:p>
    <w:p>
      <w:r>
        <w:rPr>
          <w:b/>
        </w:rPr>
        <w:t>Modeling</w:t>
      </w:r>
    </w:p>
    <w:p>
      <w:pPr>
        <w:pStyle w:val="ListBullet"/>
      </w:pPr>
      <w:r>
        <w:rPr/>
        <w:t xml:space="preserve">Build for re-runnability: methodological inputs </w:t>
      </w:r>
      <w:r>
        <w:rPr>
          <w:i/>
        </w:rPr>
        <w:t>will</w:t>
      </w:r>
      <w:r>
        <w:rPr/>
        <w:t xml:space="preserve"> need correction and recomputation, so make that cheap.</w:t>
      </w:r>
    </w:p>
    <w:p>
      <w:pPr>
        <w:pStyle w:val="ListBullet"/>
      </w:pPr>
      <w:r>
        <w:rPr/>
        <w:t>Design management options to compose cleanly so new practices do not require reworking the core models.</w:t>
      </w:r>
    </w:p>
    <w:p>
      <w:r>
        <w:rPr>
          <w:b/>
        </w:rPr>
        <w:t>Engineering</w:t>
      </w:r>
    </w:p>
    <w:p>
      <w:pPr>
        <w:pStyle w:val="ListBullet"/>
      </w:pPr>
      <w:r>
        <w:rPr/>
        <w:t xml:space="preserve">Engineer global pipelines like production software: checkpointing, atomic writes, automated tests, and validation across </w:t>
      </w:r>
      <w:r>
        <w:rPr>
          <w:i/>
        </w:rPr>
        <w:t>every</w:t>
      </w:r>
      <w:r>
        <w:rPr/>
        <w:t xml:space="preserve"> geographic scale.</w:t>
      </w:r>
    </w:p>
    <w:p>
      <w:pPr>
        <w:pStyle w:val="ListBullet"/>
      </w:pPr>
      <w:r>
        <w:rPr/>
        <w:t>Prefer slower-but-correct over faster-but-fragile, and make version-locking decisions deliberately and transparently.</w:t>
      </w:r>
    </w:p>
    <w:p>
      <w:r>
        <w:rPr>
          <w:b/>
        </w:rPr>
        <w:t>Communication</w:t>
      </w:r>
    </w:p>
    <w:p>
      <w:pPr>
        <w:pStyle w:val="ListBullet"/>
      </w:pPr>
      <w:r>
        <w:rPr/>
        <w:t>Ship representativeness and uncertainty guidance alongside the factors; the appropriate level of aggregation is part of the product.</w:t>
      </w:r>
    </w:p>
    <w:p>
      <w:r>
        <w:rPr>
          <w:b/>
        </w:rPr>
        <w:t>Honest account of remaining work.</w:t>
      </w:r>
      <w:r>
        <w:rPr/>
        <w:t xml:space="preserve"> This is a living project, and several items are openly outstanding: the documentation still contains placeholders and "to do" notes (including unconfirmed resolutions and citations, and the public-data hosting locations); managed grassland is not yet fully implemented; and the aggregation methodology sections are not finished. None of these undermine the delivered LEAFs, but closing them — and completing the public-data and documentation story — is the most valuable next step to make the work fully transparent and reproducible for the organizations that will rely on it.</w:t>
      </w:r>
    </w:p>
    <w:p>
      <w:pPr>
        <w:pBdr>
          <w:bottom w:val="single" w:sz="6" w:space="1" w:color="BBBBBB"/>
        </w:pBdr>
      </w:pPr>
    </w:p>
    <w:p>
      <w:r>
        <w:rPr>
          <w:i/>
        </w:rPr>
        <w:t>Sources: this report synthesizes the repository's indicator documentation (SOC, Soil Erosion, and Terrestrial Acidification), the crash-recovery engineering guide, the project's open task notes, the LEAF output guidance, and the implementation history of the processing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