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6C63FF"/>
          <w:sz w:val="96"/>
          <w:szCs w:val="96"/>
        </w:rPr>
        <w:t xml:space="preserve">MOVA</w:t>
      </w:r>
    </w:p>
    <w:p>
      <w:pPr>
        <w:spacing w:after="80"/>
      </w:pPr>
      <w:r>
        <w:rPr>
          <w:rFonts w:ascii="Arial" w:cs="Arial" w:eastAsia="Arial" w:hAnsi="Arial"/>
          <w:b/>
          <w:bCs/>
          <w:color w:val="1A1A2E"/>
          <w:sz w:val="36"/>
          <w:szCs w:val="36"/>
        </w:rPr>
        <w:t xml:space="preserve">Brand Identity Guide</w:t>
      </w:r>
    </w:p>
    <w:p>
      <w:pPr>
        <w:spacing w:after="600"/>
      </w:pPr>
      <w:r>
        <w:rPr>
          <w:rFonts w:ascii="Arial" w:cs="Arial" w:eastAsia="Arial" w:hAnsi="Arial"/>
          <w:i/>
          <w:iCs/>
          <w:color w:val="888888"/>
          <w:sz w:val="22"/>
          <w:szCs w:val="22"/>
        </w:rPr>
        <w:t xml:space="preserve">Version 1.0 — Document de référence interne</w:t>
      </w:r>
    </w:p>
    <w:p>
      <w:r>
        <w:br w:type="page"/>
      </w:r>
    </w:p>
    <w:p>
      <w:pPr>
        <w:pStyle w:val="Heading1"/>
        <w:spacing w:after="180" w:before="360"/>
      </w:pPr>
      <w:r>
        <w:rPr>
          <w:rFonts w:ascii="Arial" w:cs="Arial" w:eastAsia="Arial" w:hAnsi="Arial"/>
          <w:b/>
          <w:bCs/>
          <w:color w:val="1A1A2E"/>
          <w:sz w:val="34"/>
          <w:szCs w:val="34"/>
        </w:rPr>
        <w:t xml:space="preserve">1. Identité de Marque</w:t>
      </w:r>
    </w:p>
    <w:p>
      <w:pPr>
        <w:pStyle w:val="Heading2"/>
        <w:spacing w:after="140" w:before="280"/>
      </w:pPr>
      <w:r>
        <w:rPr>
          <w:rFonts w:ascii="Arial" w:cs="Arial" w:eastAsia="Arial" w:hAnsi="Arial"/>
          <w:b/>
          <w:bCs/>
          <w:color w:val="6C63FF"/>
          <w:sz w:val="26"/>
          <w:szCs w:val="26"/>
        </w:rPr>
        <w:t xml:space="preserve">1.1 Mission &amp; Vision</w:t>
      </w:r>
    </w:p>
    <w:p>
      <w:pPr>
        <w:spacing w:after="120"/>
      </w:pPr>
      <w:r>
        <w:rPr>
          <w:rFonts w:ascii="Arial" w:cs="Arial" w:eastAsia="Arial" w:hAnsi="Arial"/>
          <w:color w:val="333333"/>
          <w:sz w:val="21"/>
          <w:szCs w:val="21"/>
        </w:rPr>
        <w:t xml:space="preserve">Mission : Rendre la mobilité accessible, fiable et transparente pour tous les citadins africains et au-delà, grâce à une plateforme unique et humaine.</w:t>
      </w:r>
    </w:p>
    <w:p>
      <w:pPr>
        <w:spacing w:after="80"/>
      </w:pPr>
      <w:r>
        <w:t xml:space="preserve"/>
      </w:r>
    </w:p>
    <w:p>
      <w:pPr>
        <w:spacing w:after="120"/>
      </w:pPr>
      <w:r>
        <w:rPr>
          <w:rFonts w:ascii="Arial" w:cs="Arial" w:eastAsia="Arial" w:hAnsi="Arial"/>
          <w:color w:val="333333"/>
          <w:sz w:val="21"/>
          <w:szCs w:val="21"/>
        </w:rPr>
        <w:t xml:space="preserve">Vision : Être l'application de mobilité de référence sur les marchés africains d'ici 2028, avec 2 millions d'utilisateurs actifs dans 15 villes.</w:t>
      </w:r>
    </w:p>
    <w:p>
      <w:pPr>
        <w:pStyle w:val="Heading2"/>
        <w:spacing w:after="140" w:before="280"/>
      </w:pPr>
      <w:r>
        <w:rPr>
          <w:rFonts w:ascii="Arial" w:cs="Arial" w:eastAsia="Arial" w:hAnsi="Arial"/>
          <w:b/>
          <w:bCs/>
          <w:color w:val="6C63FF"/>
          <w:sz w:val="26"/>
          <w:szCs w:val="26"/>
        </w:rPr>
        <w:t xml:space="preserve">1.2 Valeurs fondamentales</w:t>
      </w:r>
    </w:p>
    <w:p>
      <w:pPr>
        <w:pStyle w:val="ListParagraph"/>
        <w:numPr>
          <w:ilvl w:val="0"/>
          <w:numId w:val="2"/>
        </w:numPr>
        <w:spacing w:after="80"/>
      </w:pPr>
      <w:r>
        <w:rPr>
          <w:rFonts w:ascii="Arial" w:cs="Arial" w:eastAsia="Arial" w:hAnsi="Arial"/>
          <w:color w:val="333333"/>
          <w:sz w:val="21"/>
          <w:szCs w:val="21"/>
        </w:rPr>
        <w:t xml:space="preserve">Accessibilité : MOVA est conçu pour tous — premium et économique, smartphone haut et bas de gamme, réseau rapide ou lent</w:t>
      </w:r>
    </w:p>
    <w:p>
      <w:pPr>
        <w:pStyle w:val="ListParagraph"/>
        <w:numPr>
          <w:ilvl w:val="0"/>
          <w:numId w:val="2"/>
        </w:numPr>
        <w:spacing w:after="80"/>
      </w:pPr>
      <w:r>
        <w:rPr>
          <w:rFonts w:ascii="Arial" w:cs="Arial" w:eastAsia="Arial" w:hAnsi="Arial"/>
          <w:color w:val="333333"/>
          <w:sz w:val="21"/>
          <w:szCs w:val="21"/>
        </w:rPr>
        <w:t xml:space="preserve">Confiance : Vérification rigoureuse des partenaires, transparence totale des prix, sécurité des données</w:t>
      </w:r>
    </w:p>
    <w:p>
      <w:pPr>
        <w:pStyle w:val="ListParagraph"/>
        <w:numPr>
          <w:ilvl w:val="0"/>
          <w:numId w:val="2"/>
        </w:numPr>
        <w:spacing w:after="80"/>
      </w:pPr>
      <w:r>
        <w:rPr>
          <w:rFonts w:ascii="Arial" w:cs="Arial" w:eastAsia="Arial" w:hAnsi="Arial"/>
          <w:color w:val="333333"/>
          <w:sz w:val="21"/>
          <w:szCs w:val="21"/>
        </w:rPr>
        <w:t xml:space="preserve">Rapidité : Chaque interaction doit être fluide, chaque trajet ponctuel</w:t>
      </w:r>
    </w:p>
    <w:p>
      <w:pPr>
        <w:pStyle w:val="ListParagraph"/>
        <w:numPr>
          <w:ilvl w:val="0"/>
          <w:numId w:val="2"/>
        </w:numPr>
        <w:spacing w:after="80"/>
      </w:pPr>
      <w:r>
        <w:rPr>
          <w:rFonts w:ascii="Arial" w:cs="Arial" w:eastAsia="Arial" w:hAnsi="Arial"/>
          <w:color w:val="333333"/>
          <w:sz w:val="21"/>
          <w:szCs w:val="21"/>
        </w:rPr>
        <w:t xml:space="preserve">Ancrage local : Adapté aux langues, méthodes de paiement et habitudes de chaque marché</w:t>
      </w:r>
    </w:p>
    <w:p>
      <w:pPr>
        <w:pStyle w:val="ListParagraph"/>
        <w:numPr>
          <w:ilvl w:val="0"/>
          <w:numId w:val="2"/>
        </w:numPr>
        <w:spacing w:after="80"/>
      </w:pPr>
      <w:r>
        <w:rPr>
          <w:rFonts w:ascii="Arial" w:cs="Arial" w:eastAsia="Arial" w:hAnsi="Arial"/>
          <w:color w:val="333333"/>
          <w:sz w:val="21"/>
          <w:szCs w:val="21"/>
        </w:rPr>
        <w:t xml:space="preserve">Humain : Derrière chaque trajet, il y a une personne — chauffeur ou passager</w:t>
      </w:r>
    </w:p>
    <w:p>
      <w:pPr>
        <w:spacing w:after="80"/>
      </w:pPr>
      <w:r>
        <w:t xml:space="preserve"/>
      </w:r>
    </w:p>
    <w:p>
      <w:r>
        <w:br w:type="page"/>
      </w:r>
    </w:p>
    <w:p>
      <w:pPr>
        <w:pStyle w:val="Heading1"/>
        <w:spacing w:after="180" w:before="360"/>
      </w:pPr>
      <w:r>
        <w:rPr>
          <w:rFonts w:ascii="Arial" w:cs="Arial" w:eastAsia="Arial" w:hAnsi="Arial"/>
          <w:b/>
          <w:bCs/>
          <w:color w:val="1A1A2E"/>
          <w:sz w:val="34"/>
          <w:szCs w:val="34"/>
        </w:rPr>
        <w:t xml:space="preserve">2. Nom &amp; Logo</w:t>
      </w:r>
    </w:p>
    <w:p>
      <w:pPr>
        <w:pStyle w:val="Heading2"/>
        <w:spacing w:after="140" w:before="280"/>
      </w:pPr>
      <w:r>
        <w:rPr>
          <w:rFonts w:ascii="Arial" w:cs="Arial" w:eastAsia="Arial" w:hAnsi="Arial"/>
          <w:b/>
          <w:bCs/>
          <w:color w:val="6C63FF"/>
          <w:sz w:val="26"/>
          <w:szCs w:val="26"/>
        </w:rPr>
        <w:t xml:space="preserve">2.1 Le nom MOVA</w:t>
      </w:r>
    </w:p>
    <w:p>
      <w:pPr>
        <w:spacing w:after="120"/>
      </w:pPr>
      <w:r>
        <w:rPr>
          <w:rFonts w:ascii="Arial" w:cs="Arial" w:eastAsia="Arial" w:hAnsi="Arial"/>
          <w:color w:val="333333"/>
          <w:sz w:val="21"/>
          <w:szCs w:val="21"/>
        </w:rPr>
        <w:t xml:space="preserve">MOVA est dérivé du latin et de l'espagnol/italien movimento (mouvement) et du mot anglais mobile. Le nom est :</w:t>
      </w:r>
    </w:p>
    <w:p>
      <w:pPr>
        <w:pStyle w:val="ListParagraph"/>
        <w:numPr>
          <w:ilvl w:val="0"/>
          <w:numId w:val="2"/>
        </w:numPr>
        <w:spacing w:after="80"/>
      </w:pPr>
      <w:r>
        <w:rPr>
          <w:rFonts w:ascii="Arial" w:cs="Arial" w:eastAsia="Arial" w:hAnsi="Arial"/>
          <w:color w:val="333333"/>
          <w:sz w:val="21"/>
          <w:szCs w:val="21"/>
        </w:rPr>
        <w:t xml:space="preserve">Court (4 lettres) et mémorable</w:t>
      </w:r>
    </w:p>
    <w:p>
      <w:pPr>
        <w:pStyle w:val="ListParagraph"/>
        <w:numPr>
          <w:ilvl w:val="0"/>
          <w:numId w:val="2"/>
        </w:numPr>
        <w:spacing w:after="80"/>
      </w:pPr>
      <w:r>
        <w:rPr>
          <w:rFonts w:ascii="Arial" w:cs="Arial" w:eastAsia="Arial" w:hAnsi="Arial"/>
          <w:color w:val="333333"/>
          <w:sz w:val="21"/>
          <w:szCs w:val="21"/>
        </w:rPr>
        <w:t xml:space="preserve">Prononçable identiquement dans toutes les langues cibles (français, anglais, wolof, bambara, swahili)</w:t>
      </w:r>
    </w:p>
    <w:p>
      <w:pPr>
        <w:pStyle w:val="ListParagraph"/>
        <w:numPr>
          <w:ilvl w:val="0"/>
          <w:numId w:val="2"/>
        </w:numPr>
        <w:spacing w:after="80"/>
      </w:pPr>
      <w:r>
        <w:rPr>
          <w:rFonts w:ascii="Arial" w:cs="Arial" w:eastAsia="Arial" w:hAnsi="Arial"/>
          <w:color w:val="333333"/>
          <w:sz w:val="21"/>
          <w:szCs w:val="21"/>
        </w:rPr>
        <w:t xml:space="preserve">Sans signification ambiguë dans aucune langue cible</w:t>
      </w:r>
    </w:p>
    <w:p>
      <w:pPr>
        <w:pStyle w:val="ListParagraph"/>
        <w:numPr>
          <w:ilvl w:val="0"/>
          <w:numId w:val="2"/>
        </w:numPr>
        <w:spacing w:after="80"/>
      </w:pPr>
      <w:r>
        <w:rPr>
          <w:rFonts w:ascii="Arial" w:cs="Arial" w:eastAsia="Arial" w:hAnsi="Arial"/>
          <w:color w:val="333333"/>
          <w:sz w:val="21"/>
          <w:szCs w:val="21"/>
        </w:rPr>
        <w:t xml:space="preserve">Disponible en marque déposable sur les marchés prioritaires</w:t>
      </w:r>
    </w:p>
    <w:p>
      <w:pPr>
        <w:pStyle w:val="Heading2"/>
        <w:spacing w:after="140" w:before="280"/>
      </w:pPr>
      <w:r>
        <w:rPr>
          <w:rFonts w:ascii="Arial" w:cs="Arial" w:eastAsia="Arial" w:hAnsi="Arial"/>
          <w:b/>
          <w:bCs/>
          <w:color w:val="6C63FF"/>
          <w:sz w:val="26"/>
          <w:szCs w:val="26"/>
        </w:rPr>
        <w:t xml:space="preserve">2.2 Logotype</w:t>
      </w:r>
    </w:p>
    <w:p>
      <w:pPr>
        <w:spacing w:after="120"/>
      </w:pPr>
      <w:r>
        <w:rPr>
          <w:rFonts w:ascii="Arial" w:cs="Arial" w:eastAsia="Arial" w:hAnsi="Arial"/>
          <w:color w:val="333333"/>
          <w:sz w:val="21"/>
          <w:szCs w:val="21"/>
        </w:rPr>
        <w:t xml:space="preserve">Le logo est composé de deux éléments : le symbole et le wordmark.</w:t>
      </w:r>
    </w:p>
    <w:p>
      <w:pPr>
        <w:pStyle w:val="Heading3"/>
        <w:spacing w:after="100" w:before="200"/>
      </w:pPr>
      <w:r>
        <w:rPr>
          <w:rFonts w:ascii="Arial" w:cs="Arial" w:eastAsia="Arial" w:hAnsi="Arial"/>
          <w:b/>
          <w:bCs/>
          <w:color w:val="1A1A2E"/>
          <w:sz w:val="22"/>
          <w:szCs w:val="22"/>
        </w:rPr>
        <w:t xml:space="preserve">Symbole</w:t>
      </w:r>
    </w:p>
    <w:p>
      <w:pPr>
        <w:spacing w:after="120"/>
      </w:pPr>
      <w:r>
        <w:rPr>
          <w:rFonts w:ascii="Arial" w:cs="Arial" w:eastAsia="Arial" w:hAnsi="Arial"/>
          <w:color w:val="333333"/>
          <w:sz w:val="21"/>
          <w:szCs w:val="21"/>
        </w:rPr>
        <w:t xml:space="preserve">Un chevron cinétique stylisé formé d'un triangle pointant vers le haut (mouvement, élan, destination) avec un cercle au centre symbolisant le point d'arrivée. La superposition crée une forme d'épingle de carte stylisée — immédiatement reconnaissable pour une app de mobilité, mais avec une identité unique.</w:t>
      </w:r>
    </w:p>
    <w:p>
      <w:pPr>
        <w:pStyle w:val="Heading3"/>
        <w:spacing w:after="100" w:before="200"/>
      </w:pPr>
      <w:r>
        <w:rPr>
          <w:rFonts w:ascii="Arial" w:cs="Arial" w:eastAsia="Arial" w:hAnsi="Arial"/>
          <w:b/>
          <w:bCs/>
          <w:color w:val="1A1A2E"/>
          <w:sz w:val="22"/>
          <w:szCs w:val="22"/>
        </w:rPr>
        <w:t xml:space="preserve">Wordmark</w:t>
      </w:r>
    </w:p>
    <w:p>
      <w:pPr>
        <w:spacing w:after="120"/>
      </w:pPr>
      <w:r>
        <w:rPr>
          <w:rFonts w:ascii="Arial" w:cs="Arial" w:eastAsia="Arial" w:hAnsi="Arial"/>
          <w:color w:val="333333"/>
          <w:sz w:val="21"/>
          <w:szCs w:val="21"/>
        </w:rPr>
        <w:t xml:space="preserve">"MOVA" en Inter Display, weight 600, letterspacing -0.05em. Tout en majuscules pour affirmer la marque, mais avec l'arrondi naturel d'Inter pour rester approachable.</w:t>
      </w:r>
    </w:p>
    <w:p>
      <w:pPr>
        <w:pStyle w:val="Heading2"/>
        <w:spacing w:after="140" w:before="280"/>
      </w:pPr>
      <w:r>
        <w:rPr>
          <w:rFonts w:ascii="Arial" w:cs="Arial" w:eastAsia="Arial" w:hAnsi="Arial"/>
          <w:b/>
          <w:bCs/>
          <w:color w:val="6C63FF"/>
          <w:sz w:val="26"/>
          <w:szCs w:val="26"/>
        </w:rPr>
        <w:t xml:space="preserve">2.3 Versions du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Version</w:t>
            </w:r>
          </w:p>
        </w:tc>
        <w:tc>
          <w:tcPr>
            <w:tcW w:type="dxa" w:w="35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Usage</w:t>
            </w:r>
          </w:p>
        </w:tc>
        <w:tc>
          <w:tcPr>
            <w:tcW w:type="dxa" w:w="3326"/>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Fond recommandé</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Logo complet (symbole + wordmark)</w:t>
            </w:r>
          </w:p>
        </w:tc>
        <w:tc>
          <w:tcPr>
            <w:tcW w:type="dxa" w:w="3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App stores, site web, documents officiels</w:t>
            </w:r>
          </w:p>
        </w:tc>
        <w:tc>
          <w:tcPr>
            <w:tcW w:type="dxa" w:w="33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Blanc, Midnight #1A1A2E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Symbole seul</w:t>
            </w:r>
          </w:p>
        </w:tc>
        <w:tc>
          <w:tcPr>
            <w:tcW w:type="dxa" w:w="3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App icon, favicon, notifications</w:t>
            </w:r>
          </w:p>
        </w:tc>
        <w:tc>
          <w:tcPr>
            <w:tcW w:type="dxa" w:w="33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Violet #6C63FF</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Wordmark seul</w:t>
            </w:r>
          </w:p>
        </w:tc>
        <w:tc>
          <w:tcPr>
            <w:tcW w:type="dxa" w:w="3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En-têtes documents, signatures email</w:t>
            </w:r>
          </w:p>
        </w:tc>
        <w:tc>
          <w:tcPr>
            <w:tcW w:type="dxa" w:w="33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Blanc ou fond clair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Logo monochrome blanc</w:t>
            </w:r>
          </w:p>
        </w:tc>
        <w:tc>
          <w:tcPr>
            <w:tcW w:type="dxa" w:w="3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Fond foncé, imprimé, merchandising</w:t>
            </w:r>
          </w:p>
        </w:tc>
        <w:tc>
          <w:tcPr>
            <w:tcW w:type="dxa" w:w="33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Fonds sombres</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Logo monochrome noir</w:t>
            </w:r>
          </w:p>
        </w:tc>
        <w:tc>
          <w:tcPr>
            <w:tcW w:type="dxa" w:w="3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Imprimé noir &amp; blanc</w:t>
            </w:r>
          </w:p>
        </w:tc>
        <w:tc>
          <w:tcPr>
            <w:tcW w:type="dxa" w:w="33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Fonds clairs uniquement</w:t>
            </w:r>
          </w:p>
        </w:tc>
      </w:tr>
    </w:tbl>
    <w:p>
      <w:pPr>
        <w:pStyle w:val="Heading2"/>
        <w:spacing w:after="140" w:before="280"/>
      </w:pPr>
      <w:r>
        <w:rPr>
          <w:rFonts w:ascii="Arial" w:cs="Arial" w:eastAsia="Arial" w:hAnsi="Arial"/>
          <w:b/>
          <w:bCs/>
          <w:color w:val="6C63FF"/>
          <w:sz w:val="26"/>
          <w:szCs w:val="26"/>
        </w:rPr>
        <w:t xml:space="preserve">2.4 Zone de protection</w:t>
      </w:r>
    </w:p>
    <w:p>
      <w:pPr>
        <w:spacing w:after="120"/>
      </w:pPr>
      <w:r>
        <w:rPr>
          <w:rFonts w:ascii="Arial" w:cs="Arial" w:eastAsia="Arial" w:hAnsi="Arial"/>
          <w:color w:val="333333"/>
          <w:sz w:val="21"/>
          <w:szCs w:val="21"/>
        </w:rPr>
        <w:t xml:space="preserve">Toujours maintenir une marge d'au moins 1× la hauteur du "M" autour du logo. Ne jamais placer d'autres éléments visuels dans cette zone de protection.</w:t>
      </w:r>
    </w:p>
    <w:p>
      <w:pPr>
        <w:pStyle w:val="Heading2"/>
        <w:spacing w:after="140" w:before="280"/>
      </w:pPr>
      <w:r>
        <w:rPr>
          <w:rFonts w:ascii="Arial" w:cs="Arial" w:eastAsia="Arial" w:hAnsi="Arial"/>
          <w:b/>
          <w:bCs/>
          <w:color w:val="6C63FF"/>
          <w:sz w:val="26"/>
          <w:szCs w:val="26"/>
        </w:rPr>
        <w:t xml:space="preserve">2.5 Usages interdits</w:t>
      </w:r>
    </w:p>
    <w:p>
      <w:pPr>
        <w:pStyle w:val="ListParagraph"/>
        <w:numPr>
          <w:ilvl w:val="0"/>
          <w:numId w:val="2"/>
        </w:numPr>
        <w:spacing w:after="80"/>
      </w:pPr>
      <w:r>
        <w:rPr>
          <w:rFonts w:ascii="Arial" w:cs="Arial" w:eastAsia="Arial" w:hAnsi="Arial"/>
          <w:color w:val="333333"/>
          <w:sz w:val="21"/>
          <w:szCs w:val="21"/>
        </w:rPr>
        <w:t xml:space="preserve">Ne pas étirer, déformer ou modifier les proportions du logo</w:t>
      </w:r>
    </w:p>
    <w:p>
      <w:pPr>
        <w:pStyle w:val="ListParagraph"/>
        <w:numPr>
          <w:ilvl w:val="0"/>
          <w:numId w:val="2"/>
        </w:numPr>
        <w:spacing w:after="80"/>
      </w:pPr>
      <w:r>
        <w:rPr>
          <w:rFonts w:ascii="Arial" w:cs="Arial" w:eastAsia="Arial" w:hAnsi="Arial"/>
          <w:color w:val="333333"/>
          <w:sz w:val="21"/>
          <w:szCs w:val="21"/>
        </w:rPr>
        <w:t xml:space="preserve">Ne pas changer les couleurs du logo (sauf versions monochrome officielles)</w:t>
      </w:r>
    </w:p>
    <w:p>
      <w:pPr>
        <w:pStyle w:val="ListParagraph"/>
        <w:numPr>
          <w:ilvl w:val="0"/>
          <w:numId w:val="2"/>
        </w:numPr>
        <w:spacing w:after="80"/>
      </w:pPr>
      <w:r>
        <w:rPr>
          <w:rFonts w:ascii="Arial" w:cs="Arial" w:eastAsia="Arial" w:hAnsi="Arial"/>
          <w:color w:val="333333"/>
          <w:sz w:val="21"/>
          <w:szCs w:val="21"/>
        </w:rPr>
        <w:t xml:space="preserve">Ne pas ajouter d'ombres, contours ou effets</w:t>
      </w:r>
    </w:p>
    <w:p>
      <w:pPr>
        <w:pStyle w:val="ListParagraph"/>
        <w:numPr>
          <w:ilvl w:val="0"/>
          <w:numId w:val="2"/>
        </w:numPr>
        <w:spacing w:after="80"/>
      </w:pPr>
      <w:r>
        <w:rPr>
          <w:rFonts w:ascii="Arial" w:cs="Arial" w:eastAsia="Arial" w:hAnsi="Arial"/>
          <w:color w:val="333333"/>
          <w:sz w:val="21"/>
          <w:szCs w:val="21"/>
        </w:rPr>
        <w:t xml:space="preserve">Ne pas placer le logo sur un fond avec texte ou motif chargé</w:t>
      </w:r>
    </w:p>
    <w:p>
      <w:pPr>
        <w:pStyle w:val="ListParagraph"/>
        <w:numPr>
          <w:ilvl w:val="0"/>
          <w:numId w:val="2"/>
        </w:numPr>
        <w:spacing w:after="80"/>
      </w:pPr>
      <w:r>
        <w:rPr>
          <w:rFonts w:ascii="Arial" w:cs="Arial" w:eastAsia="Arial" w:hAnsi="Arial"/>
          <w:color w:val="333333"/>
          <w:sz w:val="21"/>
          <w:szCs w:val="21"/>
        </w:rPr>
        <w:t xml:space="preserve">Ne pas recréer le logo avec d'autres polices</w:t>
      </w:r>
    </w:p>
    <w:p>
      <w:pPr>
        <w:spacing w:after="80"/>
      </w:pPr>
      <w:r>
        <w:t xml:space="preserve"/>
      </w:r>
    </w:p>
    <w:p>
      <w:r>
        <w:br w:type="page"/>
      </w:r>
    </w:p>
    <w:p>
      <w:pPr>
        <w:pStyle w:val="Heading1"/>
        <w:spacing w:after="180" w:before="360"/>
      </w:pPr>
      <w:r>
        <w:rPr>
          <w:rFonts w:ascii="Arial" w:cs="Arial" w:eastAsia="Arial" w:hAnsi="Arial"/>
          <w:b/>
          <w:bCs/>
          <w:color w:val="1A1A2E"/>
          <w:sz w:val="34"/>
          <w:szCs w:val="34"/>
        </w:rPr>
        <w:t xml:space="preserve">3. Palette de Couleurs</w:t>
      </w:r>
    </w:p>
    <w:p>
      <w:pPr>
        <w:pStyle w:val="Heading2"/>
        <w:spacing w:after="140" w:before="280"/>
      </w:pPr>
      <w:r>
        <w:rPr>
          <w:rFonts w:ascii="Arial" w:cs="Arial" w:eastAsia="Arial" w:hAnsi="Arial"/>
          <w:b/>
          <w:bCs/>
          <w:color w:val="6C63FF"/>
          <w:sz w:val="26"/>
          <w:szCs w:val="26"/>
        </w:rPr>
        <w:t xml:space="preserve">3.1 Couleurs principales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1A1A2E"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Midnight — Couleur primaire</w:t>
            </w:r>
          </w:p>
          <w:p>
            <w:r>
              <w:rPr>
                <w:rFonts w:ascii="Arial" w:cs="Arial" w:eastAsia="Arial" w:hAnsi="Arial"/>
                <w:i/>
                <w:iCs/>
                <w:color w:val="666666"/>
                <w:sz w:val="19"/>
                <w:szCs w:val="19"/>
              </w:rPr>
              <w:t xml:space="preserve">#1A1A2E · RGB(26, 26, 46)</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6C63FF"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Signal Violet — Accent primaire</w:t>
            </w:r>
          </w:p>
          <w:p>
            <w:r>
              <w:rPr>
                <w:rFonts w:ascii="Arial" w:cs="Arial" w:eastAsia="Arial" w:hAnsi="Arial"/>
                <w:i/>
                <w:iCs/>
                <w:color w:val="666666"/>
                <w:sz w:val="19"/>
                <w:szCs w:val="19"/>
              </w:rPr>
              <w:t xml:space="preserve">#6C63FF · RGB(108, 99, 255)</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00D4A1"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Go Green — Couleur d'action / succès</w:t>
            </w:r>
          </w:p>
          <w:p>
            <w:r>
              <w:rPr>
                <w:rFonts w:ascii="Arial" w:cs="Arial" w:eastAsia="Arial" w:hAnsi="Arial"/>
                <w:i/>
                <w:iCs/>
                <w:color w:val="666666"/>
                <w:sz w:val="19"/>
                <w:szCs w:val="19"/>
              </w:rPr>
              <w:t xml:space="preserve">#00D4A1 · RGB(0, 212, 161)</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FF6B35"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Rush Orange — Alertes / urgence / promos</w:t>
            </w:r>
          </w:p>
          <w:p>
            <w:r>
              <w:rPr>
                <w:rFonts w:ascii="Arial" w:cs="Arial" w:eastAsia="Arial" w:hAnsi="Arial"/>
                <w:i/>
                <w:iCs/>
                <w:color w:val="666666"/>
                <w:sz w:val="19"/>
                <w:szCs w:val="19"/>
              </w:rPr>
              <w:t xml:space="preserve">#FF6B35 · RGB(255, 107, 53)</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p>
      <w:pPr>
        <w:pStyle w:val="Heading2"/>
        <w:spacing w:after="140" w:before="280"/>
      </w:pPr>
      <w:r>
        <w:rPr>
          <w:rFonts w:ascii="Arial" w:cs="Arial" w:eastAsia="Arial" w:hAnsi="Arial"/>
          <w:b/>
          <w:bCs/>
          <w:color w:val="6C63FF"/>
          <w:sz w:val="26"/>
          <w:szCs w:val="26"/>
        </w:rPr>
        <w:t xml:space="preserve">3.2 Couleurs secondaires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F5F4FF"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Cloud — Fonds clairs</w:t>
            </w:r>
          </w:p>
          <w:p>
            <w:r>
              <w:rPr>
                <w:rFonts w:ascii="Arial" w:cs="Arial" w:eastAsia="Arial" w:hAnsi="Arial"/>
                <w:i/>
                <w:iCs/>
                <w:color w:val="666666"/>
                <w:sz w:val="19"/>
                <w:szCs w:val="19"/>
              </w:rPr>
              <w:t xml:space="preserve">#F5F4FF · RGB(245, 244, 255)</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E8E7F0"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Mist — Bordures, séparateurs</w:t>
            </w:r>
          </w:p>
          <w:p>
            <w:r>
              <w:rPr>
                <w:rFonts w:ascii="Arial" w:cs="Arial" w:eastAsia="Arial" w:hAnsi="Arial"/>
                <w:i/>
                <w:iCs/>
                <w:color w:val="666666"/>
                <w:sz w:val="19"/>
                <w:szCs w:val="19"/>
              </w:rPr>
              <w:t xml:space="preserve">#E8E7F0 · RGB(232, 231, 240)</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333333"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Charcoal — Texte corps</w:t>
            </w:r>
          </w:p>
          <w:p>
            <w:r>
              <w:rPr>
                <w:rFonts w:ascii="Arial" w:cs="Arial" w:eastAsia="Arial" w:hAnsi="Arial"/>
                <w:i/>
                <w:iCs/>
                <w:color w:val="666666"/>
                <w:sz w:val="19"/>
                <w:szCs w:val="19"/>
              </w:rPr>
              <w:t xml:space="preserve">#333333 · RGB(51, 51, 51)</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DDDDDD" w:sz="1"/>
              <w:left w:val="single" w:color="DDDDDD" w:sz="1"/>
              <w:bottom w:val="single" w:color="DDDDDD" w:sz="1"/>
              <w:right w:val="single" w:color="DDDDDD" w:sz="1"/>
            </w:tcBorders>
            <w:shd w:fill="888888" w:val="clear"/>
            <w:tcMar>
              <w:top w:type="dxa" w:w="400"/>
              <w:left w:type="dxa" w:w="0"/>
              <w:bottom w:type="dxa" w:w="400"/>
              <w:right w:type="dxa" w:w="0"/>
            </w:tcMar>
          </w:tcPr>
          <w:p>
            <w:r>
              <w:t xml:space="preserve"/>
            </w:r>
          </w:p>
        </w:tc>
        <w:tc>
          <w:tcPr>
            <w:tcW w:type="dxa" w:w="5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100"/>
            </w:tcMar>
          </w:tcPr>
          <w:p>
            <w:r>
              <w:rPr>
                <w:rFonts w:ascii="Arial" w:cs="Arial" w:eastAsia="Arial" w:hAnsi="Arial"/>
                <w:b/>
                <w:bCs/>
                <w:color w:val="1A1A2E"/>
                <w:sz w:val="22"/>
                <w:szCs w:val="22"/>
              </w:rPr>
              <w:t xml:space="preserve">Stone — Texte secondaire / hints</w:t>
            </w:r>
          </w:p>
          <w:p>
            <w:r>
              <w:rPr>
                <w:rFonts w:ascii="Arial" w:cs="Arial" w:eastAsia="Arial" w:hAnsi="Arial"/>
                <w:i/>
                <w:iCs/>
                <w:color w:val="666666"/>
                <w:sz w:val="19"/>
                <w:szCs w:val="19"/>
              </w:rPr>
              <w:t xml:space="preserve">#888888 · RGB(136, 136, 136)</w:t>
            </w:r>
          </w:p>
        </w:tc>
        <w:tc>
          <w:tcPr>
            <w:tcW w:type="dxa" w:w="2826"/>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200"/>
            </w:tcMar>
          </w:tcPr>
          <w:p/>
        </w:tc>
      </w:tr>
    </w:tbl>
    <w:p>
      <w:pPr>
        <w:spacing w:after="80"/>
      </w:pPr>
      <w:r>
        <w:t xml:space="preserve"/>
      </w:r>
    </w:p>
    <w:p>
      <w:pPr>
        <w:pStyle w:val="Heading2"/>
        <w:spacing w:after="140" w:before="280"/>
      </w:pPr>
      <w:r>
        <w:rPr>
          <w:rFonts w:ascii="Arial" w:cs="Arial" w:eastAsia="Arial" w:hAnsi="Arial"/>
          <w:b/>
          <w:bCs/>
          <w:color w:val="6C63FF"/>
          <w:sz w:val="26"/>
          <w:szCs w:val="26"/>
        </w:rPr>
        <w:t xml:space="preserve">3.3 Règles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Couleur</w:t>
            </w:r>
          </w:p>
        </w:tc>
        <w:tc>
          <w:tcPr>
            <w:tcW w:type="dxa" w:w="25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Rôle principal</w:t>
            </w:r>
          </w:p>
        </w:tc>
        <w:tc>
          <w:tcPr>
            <w:tcW w:type="dxa" w:w="4026"/>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Usage interdit</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Midnight #1A1A2E</w:t>
            </w:r>
          </w:p>
        </w:tc>
        <w:tc>
          <w:tcPr>
            <w:tcW w:type="dxa" w:w="2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Header app, fond boutons CTA</w:t>
            </w:r>
          </w:p>
        </w:tc>
        <w:tc>
          <w:tcPr>
            <w:tcW w:type="dxa" w:w="40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Fond de page complet (trop lourd)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Signal Violet #6C63FF</w:t>
            </w:r>
          </w:p>
        </w:tc>
        <w:tc>
          <w:tcPr>
            <w:tcW w:type="dxa" w:w="2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Liens actifs, onglet sélectionné, icônes services</w:t>
            </w:r>
          </w:p>
        </w:tc>
        <w:tc>
          <w:tcPr>
            <w:tcW w:type="dxa" w:w="40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Texte long (lisibilité réduite)</w:t>
            </w:r>
          </w:p>
        </w:tc>
      </w:tr>
      <w:tr>
        <w:tc>
          <w:tcPr>
            <w:tcW w:type="dxa" w:w="2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Go Green #00D4A1</w:t>
            </w:r>
          </w:p>
        </w:tc>
        <w:tc>
          <w:tcPr>
            <w:tcW w:type="dxa" w:w="2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Statut "disponible", confirmations, icône point d'arrivée</w:t>
            </w:r>
          </w:p>
        </w:tc>
        <w:tc>
          <w:tcPr>
            <w:tcW w:type="dxa" w:w="40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Alertes ou erreurs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Rush Orange #FF6B35</w:t>
            </w:r>
          </w:p>
        </w:tc>
        <w:tc>
          <w:tcPr>
            <w:tcW w:type="dxa" w:w="2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Promotions, badge "Nouveau", bouton urgence</w:t>
            </w:r>
          </w:p>
        </w:tc>
        <w:tc>
          <w:tcPr>
            <w:tcW w:type="dxa" w:w="40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Texte standard</w:t>
            </w:r>
          </w:p>
        </w:tc>
      </w:tr>
    </w:tbl>
    <w:p>
      <w:pPr>
        <w:spacing w:after="80"/>
      </w:pPr>
      <w:r>
        <w:t xml:space="preserve"/>
      </w:r>
    </w:p>
    <w:p>
      <w:r>
        <w:br w:type="page"/>
      </w:r>
    </w:p>
    <w:p>
      <w:pPr>
        <w:pStyle w:val="Heading1"/>
        <w:spacing w:after="180" w:before="360"/>
      </w:pPr>
      <w:r>
        <w:rPr>
          <w:rFonts w:ascii="Arial" w:cs="Arial" w:eastAsia="Arial" w:hAnsi="Arial"/>
          <w:b/>
          <w:bCs/>
          <w:color w:val="1A1A2E"/>
          <w:sz w:val="34"/>
          <w:szCs w:val="34"/>
        </w:rPr>
        <w:t xml:space="preserve">4. Typographie</w:t>
      </w:r>
    </w:p>
    <w:p>
      <w:pPr>
        <w:pStyle w:val="Heading2"/>
        <w:spacing w:after="140" w:before="280"/>
      </w:pPr>
      <w:r>
        <w:rPr>
          <w:rFonts w:ascii="Arial" w:cs="Arial" w:eastAsia="Arial" w:hAnsi="Arial"/>
          <w:b/>
          <w:bCs/>
          <w:color w:val="6C63FF"/>
          <w:sz w:val="26"/>
          <w:szCs w:val="26"/>
        </w:rPr>
        <w:t xml:space="preserve">4.1 Police principale — Inter</w:t>
      </w:r>
    </w:p>
    <w:p>
      <w:pPr>
        <w:spacing w:after="120"/>
      </w:pPr>
      <w:r>
        <w:rPr>
          <w:rFonts w:ascii="Arial" w:cs="Arial" w:eastAsia="Arial" w:hAnsi="Arial"/>
          <w:color w:val="333333"/>
          <w:sz w:val="21"/>
          <w:szCs w:val="21"/>
        </w:rPr>
        <w:t xml:space="preserve">Inter est la police exclusive de MOVA pour tous les supports digitaux. Open source (Google Fonts), Inter offre une excellente lisibilité à toutes les tailles sur mobile, une grande famille de graisses, et une belle humanité dans ses formes.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Usage</w:t>
            </w:r>
          </w:p>
        </w:tc>
        <w:tc>
          <w:tcPr>
            <w:tcW w:type="dxa" w:w="15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Taille</w:t>
            </w:r>
          </w:p>
        </w:tc>
        <w:tc>
          <w:tcPr>
            <w:tcW w:type="dxa" w:w="15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Graisse</w:t>
            </w:r>
          </w:p>
        </w:tc>
        <w:tc>
          <w:tcPr>
            <w:tcW w:type="dxa" w:w="4026"/>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Exemple</w:t>
            </w:r>
          </w:p>
        </w:tc>
      </w:tr>
      <w:tr>
        <w:tc>
          <w:tcPr>
            <w:tcW w:type="dxa" w:w="20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Display / Titre héro</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32–48 sp</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Bold 700</w:t>
            </w:r>
          </w:p>
        </w:tc>
        <w:tc>
          <w:tcPr>
            <w:tcW w:type="dxa" w:w="40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Où allons-nous ?</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Titre section (H1)</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24 sp</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SemiBold 600</w:t>
            </w:r>
          </w:p>
        </w:tc>
        <w:tc>
          <w:tcPr>
            <w:tcW w:type="dxa" w:w="40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Services disponibles</w:t>
            </w:r>
          </w:p>
        </w:tc>
      </w:tr>
      <w:tr>
        <w:tc>
          <w:tcPr>
            <w:tcW w:type="dxa" w:w="20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Sous-titre (H2)</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18 sp</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Medium 500</w:t>
            </w:r>
          </w:p>
        </w:tc>
        <w:tc>
          <w:tcPr>
            <w:tcW w:type="dxa" w:w="40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Choisir votre véhicule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Corps de texte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14–16 sp</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Regular 400</w:t>
            </w:r>
          </w:p>
        </w:tc>
        <w:tc>
          <w:tcPr>
            <w:tcW w:type="dxa" w:w="40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Votre chauffeur arrive dans 4 min</w:t>
            </w:r>
          </w:p>
        </w:tc>
      </w:tr>
      <w:tr>
        <w:tc>
          <w:tcPr>
            <w:tcW w:type="dxa" w:w="20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Caption / Labels</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11–12 sp</w:t>
            </w:r>
          </w:p>
        </w:tc>
        <w:tc>
          <w:tcPr>
            <w:tcW w:type="dxa" w:w="15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Regular 400</w:t>
            </w:r>
          </w:p>
        </w:tc>
        <w:tc>
          <w:tcPr>
            <w:tcW w:type="dxa" w:w="40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3.2 km · Standard · 2 400 FCFA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Données / Prix</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14–16 sp</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Mono Regular</w:t>
            </w:r>
          </w:p>
        </w:tc>
        <w:tc>
          <w:tcPr>
            <w:tcW w:type="dxa" w:w="40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8 500 F · 14h32 · 2.4 km</w:t>
            </w:r>
          </w:p>
        </w:tc>
      </w:tr>
    </w:tbl>
    <w:p>
      <w:pPr>
        <w:pStyle w:val="Heading2"/>
        <w:spacing w:after="140" w:before="280"/>
      </w:pPr>
      <w:r>
        <w:rPr>
          <w:rFonts w:ascii="Arial" w:cs="Arial" w:eastAsia="Arial" w:hAnsi="Arial"/>
          <w:b/>
          <w:bCs/>
          <w:color w:val="6C63FF"/>
          <w:sz w:val="26"/>
          <w:szCs w:val="26"/>
        </w:rPr>
        <w:t xml:space="preserve">4.2 Règles typographiques</w:t>
      </w:r>
    </w:p>
    <w:p>
      <w:pPr>
        <w:pStyle w:val="ListParagraph"/>
        <w:numPr>
          <w:ilvl w:val="0"/>
          <w:numId w:val="2"/>
        </w:numPr>
        <w:spacing w:after="80"/>
      </w:pPr>
      <w:r>
        <w:rPr>
          <w:rFonts w:ascii="Arial" w:cs="Arial" w:eastAsia="Arial" w:hAnsi="Arial"/>
          <w:color w:val="333333"/>
          <w:sz w:val="21"/>
          <w:szCs w:val="21"/>
        </w:rPr>
        <w:t xml:space="preserve">Toujours utiliser Inter — jamais de substitution avec une autre police sans validation marque</w:t>
      </w:r>
    </w:p>
    <w:p>
      <w:pPr>
        <w:pStyle w:val="ListParagraph"/>
        <w:numPr>
          <w:ilvl w:val="0"/>
          <w:numId w:val="2"/>
        </w:numPr>
        <w:spacing w:after="80"/>
      </w:pPr>
      <w:r>
        <w:rPr>
          <w:rFonts w:ascii="Arial" w:cs="Arial" w:eastAsia="Arial" w:hAnsi="Arial"/>
          <w:color w:val="333333"/>
          <w:sz w:val="21"/>
          <w:szCs w:val="21"/>
        </w:rPr>
        <w:t xml:space="preserve">Interlignage minimum 1.4× la taille de police pour une bonne lisibilité mobile</w:t>
      </w:r>
    </w:p>
    <w:p>
      <w:pPr>
        <w:pStyle w:val="ListParagraph"/>
        <w:numPr>
          <w:ilvl w:val="0"/>
          <w:numId w:val="2"/>
        </w:numPr>
        <w:spacing w:after="80"/>
      </w:pPr>
      <w:r>
        <w:rPr>
          <w:rFonts w:ascii="Arial" w:cs="Arial" w:eastAsia="Arial" w:hAnsi="Arial"/>
          <w:color w:val="333333"/>
          <w:sz w:val="21"/>
          <w:szCs w:val="21"/>
        </w:rPr>
        <w:t xml:space="preserve">Texte corps en Charcoal #333333 sur fond clair, jamais en noir pur (#000000)</w:t>
      </w:r>
    </w:p>
    <w:p>
      <w:pPr>
        <w:pStyle w:val="ListParagraph"/>
        <w:numPr>
          <w:ilvl w:val="0"/>
          <w:numId w:val="2"/>
        </w:numPr>
        <w:spacing w:after="80"/>
      </w:pPr>
      <w:r>
        <w:rPr>
          <w:rFonts w:ascii="Arial" w:cs="Arial" w:eastAsia="Arial" w:hAnsi="Arial"/>
          <w:color w:val="333333"/>
          <w:sz w:val="21"/>
          <w:szCs w:val="21"/>
        </w:rPr>
        <w:t xml:space="preserve">Texte sur fond Midnight : blanc pur (#FFFFFF) uniquement</w:t>
      </w:r>
    </w:p>
    <w:p>
      <w:pPr>
        <w:pStyle w:val="ListParagraph"/>
        <w:numPr>
          <w:ilvl w:val="0"/>
          <w:numId w:val="2"/>
        </w:numPr>
        <w:spacing w:after="80"/>
      </w:pPr>
      <w:r>
        <w:rPr>
          <w:rFonts w:ascii="Arial" w:cs="Arial" w:eastAsia="Arial" w:hAnsi="Arial"/>
          <w:color w:val="333333"/>
          <w:sz w:val="21"/>
          <w:szCs w:val="21"/>
        </w:rPr>
        <w:t xml:space="preserve">Majuscules uniquement pour les labels courtes (ex : STANDARD, DISPONIBLE), jamais pour les phrases</w:t>
      </w:r>
    </w:p>
    <w:p>
      <w:pPr>
        <w:spacing w:after="80"/>
      </w:pPr>
      <w:r>
        <w:t xml:space="preserve"/>
      </w:r>
    </w:p>
    <w:p>
      <w:r>
        <w:br w:type="page"/>
      </w:r>
    </w:p>
    <w:p>
      <w:pPr>
        <w:pStyle w:val="Heading1"/>
        <w:spacing w:after="180" w:before="360"/>
      </w:pPr>
      <w:r>
        <w:rPr>
          <w:rFonts w:ascii="Arial" w:cs="Arial" w:eastAsia="Arial" w:hAnsi="Arial"/>
          <w:b/>
          <w:bCs/>
          <w:color w:val="1A1A2E"/>
          <w:sz w:val="34"/>
          <w:szCs w:val="34"/>
        </w:rPr>
        <w:t xml:space="preserve">5. Ton &amp; Expression</w:t>
      </w:r>
    </w:p>
    <w:p>
      <w:pPr>
        <w:pStyle w:val="Heading2"/>
        <w:spacing w:after="140" w:before="280"/>
      </w:pPr>
      <w:r>
        <w:rPr>
          <w:rFonts w:ascii="Arial" w:cs="Arial" w:eastAsia="Arial" w:hAnsi="Arial"/>
          <w:b/>
          <w:bCs/>
          <w:color w:val="6C63FF"/>
          <w:sz w:val="26"/>
          <w:szCs w:val="26"/>
        </w:rPr>
        <w:t xml:space="preserve">5.1 Personnalité de la marque</w:t>
      </w:r>
    </w:p>
    <w:p>
      <w:pPr>
        <w:spacing w:after="120"/>
      </w:pPr>
      <w:r>
        <w:rPr>
          <w:rFonts w:ascii="Arial" w:cs="Arial" w:eastAsia="Arial" w:hAnsi="Arial"/>
          <w:color w:val="333333"/>
          <w:sz w:val="21"/>
          <w:szCs w:val="21"/>
        </w:rPr>
        <w:t xml:space="preserve">MOVA parle comme un ami de confiance qui connaît bien la ville. Pas condescendant, pas trop formel, toujours utile et direct.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Attribut</w:t>
            </w:r>
          </w:p>
        </w:tc>
        <w:tc>
          <w:tcPr>
            <w:tcW w:type="dxa" w:w="3200"/>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Signification</w:t>
            </w:r>
          </w:p>
        </w:tc>
        <w:tc>
          <w:tcPr>
            <w:tcW w:type="dxa" w:w="3626"/>
            <w:tcBorders>
              <w:top w:val="single" w:color="DDDDDD" w:sz="1"/>
              <w:left w:val="single" w:color="DDDDDD" w:sz="1"/>
              <w:bottom w:val="single" w:color="DDDDDD" w:sz="1"/>
              <w:right w:val="single" w:color="DDDDDD" w:sz="1"/>
            </w:tcBorders>
            <w:shd w:fill="1A1A2E" w:val="clear"/>
            <w:tcMar>
              <w:top w:type="dxa" w:w="70"/>
              <w:left w:type="dxa" w:w="110"/>
              <w:bottom w:type="dxa" w:w="70"/>
              <w:right w:type="dxa" w:w="110"/>
            </w:tcMar>
          </w:tcPr>
          <w:p>
            <w:r>
              <w:rPr>
                <w:rFonts w:ascii="Arial" w:cs="Arial" w:eastAsia="Arial" w:hAnsi="Arial"/>
                <w:b/>
                <w:bCs/>
                <w:color w:val="FFFFFF"/>
                <w:sz w:val="18"/>
                <w:szCs w:val="18"/>
              </w:rPr>
              <w:t xml:space="preserve">Exemple de phrase</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Direct</w:t>
            </w:r>
          </w:p>
        </w:tc>
        <w:tc>
          <w:tcPr>
            <w:tcW w:type="dxa" w:w="3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Informations utiles sans superflu</w:t>
            </w:r>
          </w:p>
        </w:tc>
        <w:tc>
          <w:tcPr>
            <w:tcW w:type="dxa" w:w="36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"Votre taxi arrive dans 3 min"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Chaleureux</w:t>
            </w:r>
          </w:p>
        </w:tc>
        <w:tc>
          <w:tcPr>
            <w:tcW w:type="dxa" w:w="3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Humain sans être familier</w:t>
            </w:r>
          </w:p>
        </w:tc>
        <w:tc>
          <w:tcPr>
            <w:tcW w:type="dxa" w:w="36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"Bon trajet, Kadidia !"</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Confiant</w:t>
            </w:r>
          </w:p>
        </w:tc>
        <w:tc>
          <w:tcPr>
            <w:tcW w:type="dxa" w:w="3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Affirmatif, pas d'hésitation</w:t>
            </w:r>
          </w:p>
        </w:tc>
        <w:tc>
          <w:tcPr>
            <w:tcW w:type="dxa" w:w="36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"Commandez, on s'occupe du reste."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Local</w:t>
            </w:r>
          </w:p>
        </w:tc>
        <w:tc>
          <w:tcPr>
            <w:tcW w:type="dxa" w:w="3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Adapté au marché, pas traduit mécaniquement</w:t>
            </w:r>
          </w:p>
        </w:tc>
        <w:tc>
          <w:tcPr>
            <w:tcW w:type="dxa" w:w="3626"/>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333333"/>
                <w:sz w:val="19"/>
                <w:szCs w:val="19"/>
              </w:rPr>
              <w:t xml:space="preserve">"Votre moto-taxi est là"</w:t>
            </w:r>
          </w:p>
        </w:tc>
      </w:tr>
      <w:tr>
        <w:tc>
          <w:tcPr>
            <w:tcW w:type="dxa" w:w="2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Précis</w:t>
            </w:r>
          </w:p>
        </w:tc>
        <w:tc>
          <w:tcPr>
            <w:tcW w:type="dxa" w:w="3200"/>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Chiffres concrets, pas de vague</w:t>
            </w:r>
          </w:p>
        </w:tc>
        <w:tc>
          <w:tcPr>
            <w:tcW w:type="dxa" w:w="3626"/>
            <w:tcBorders>
              <w:top w:val="single" w:color="DDDDDD" w:sz="1"/>
              <w:left w:val="single" w:color="DDDDDD" w:sz="1"/>
              <w:bottom w:val="single" w:color="DDDDDD" w:sz="1"/>
              <w:right w:val="single" w:color="DDDDDD" w:sz="1"/>
            </w:tcBorders>
            <w:shd w:fill="F5F4FF" w:val="clear"/>
            <w:tcMar>
              <w:top w:type="dxa" w:w="60"/>
              <w:left w:type="dxa" w:w="110"/>
              <w:bottom w:type="dxa" w:w="60"/>
              <w:right w:type="dxa" w:w="110"/>
            </w:tcMar>
          </w:tcPr>
          <w:p>
            <w:r>
              <w:rPr>
                <w:rFonts w:ascii="Arial" w:cs="Arial" w:eastAsia="Arial" w:hAnsi="Arial"/>
                <w:color w:val="333333"/>
                <w:sz w:val="19"/>
                <w:szCs w:val="19"/>
              </w:rPr>
              <w:t xml:space="preserve">"2 400 FCFA · 9 min · 3.2 km"</w:t>
            </w:r>
          </w:p>
        </w:tc>
      </w:tr>
    </w:tbl>
    <w:p>
      <w:pPr>
        <w:pStyle w:val="Heading2"/>
        <w:spacing w:after="140" w:before="280"/>
      </w:pPr>
      <w:r>
        <w:rPr>
          <w:rFonts w:ascii="Arial" w:cs="Arial" w:eastAsia="Arial" w:hAnsi="Arial"/>
          <w:b/>
          <w:bCs/>
          <w:color w:val="6C63FF"/>
          <w:sz w:val="26"/>
          <w:szCs w:val="26"/>
        </w:rPr>
        <w:t xml:space="preserve">5.2 Taglines officielles</w:t>
      </w:r>
    </w:p>
    <w:p>
      <w:pPr>
        <w:pStyle w:val="ListParagraph"/>
        <w:numPr>
          <w:ilvl w:val="0"/>
          <w:numId w:val="2"/>
        </w:numPr>
        <w:spacing w:after="80"/>
      </w:pPr>
      <w:r>
        <w:rPr>
          <w:rFonts w:ascii="Arial" w:cs="Arial" w:eastAsia="Arial" w:hAnsi="Arial"/>
          <w:color w:val="333333"/>
          <w:sz w:val="21"/>
          <w:szCs w:val="21"/>
        </w:rPr>
        <w:t xml:space="preserve">Principale : "Move. Anywhere. Anytime." (marchés anglophones et international)</w:t>
      </w:r>
    </w:p>
    <w:p>
      <w:pPr>
        <w:pStyle w:val="ListParagraph"/>
        <w:numPr>
          <w:ilvl w:val="0"/>
          <w:numId w:val="2"/>
        </w:numPr>
        <w:spacing w:after="80"/>
      </w:pPr>
      <w:r>
        <w:rPr>
          <w:rFonts w:ascii="Arial" w:cs="Arial" w:eastAsia="Arial" w:hAnsi="Arial"/>
          <w:color w:val="333333"/>
          <w:sz w:val="21"/>
          <w:szCs w:val="21"/>
        </w:rPr>
        <w:t xml:space="preserve">Français : "La mobilité, simplement." (marchés francophones Afrique &amp; Europe)</w:t>
      </w:r>
    </w:p>
    <w:p>
      <w:pPr>
        <w:pStyle w:val="ListParagraph"/>
        <w:numPr>
          <w:ilvl w:val="0"/>
          <w:numId w:val="2"/>
        </w:numPr>
        <w:spacing w:after="80"/>
      </w:pPr>
      <w:r>
        <w:rPr>
          <w:rFonts w:ascii="Arial" w:cs="Arial" w:eastAsia="Arial" w:hAnsi="Arial"/>
          <w:color w:val="333333"/>
          <w:sz w:val="21"/>
          <w:szCs w:val="21"/>
        </w:rPr>
        <w:t xml:space="preserve">App stores : "Un tap. Un trajet."</w:t>
      </w:r>
    </w:p>
    <w:p>
      <w:pPr>
        <w:pStyle w:val="ListParagraph"/>
        <w:numPr>
          <w:ilvl w:val="0"/>
          <w:numId w:val="2"/>
        </w:numPr>
        <w:spacing w:after="80"/>
      </w:pPr>
      <w:r>
        <w:rPr>
          <w:rFonts w:ascii="Arial" w:cs="Arial" w:eastAsia="Arial" w:hAnsi="Arial"/>
          <w:color w:val="333333"/>
          <w:sz w:val="21"/>
          <w:szCs w:val="21"/>
        </w:rPr>
        <w:t xml:space="preserve">B2B : "Votre flotte, notre plateforme."</w:t>
      </w:r>
    </w:p>
    <w:p>
      <w:pPr>
        <w:pStyle w:val="Heading2"/>
        <w:spacing w:after="140" w:before="280"/>
      </w:pPr>
      <w:r>
        <w:rPr>
          <w:rFonts w:ascii="Arial" w:cs="Arial" w:eastAsia="Arial" w:hAnsi="Arial"/>
          <w:b/>
          <w:bCs/>
          <w:color w:val="6C63FF"/>
          <w:sz w:val="26"/>
          <w:szCs w:val="26"/>
        </w:rPr>
        <w:t xml:space="preserve">5.3 Formulations à éviter</w:t>
      </w:r>
    </w:p>
    <w:p>
      <w:pPr>
        <w:pStyle w:val="ListParagraph"/>
        <w:numPr>
          <w:ilvl w:val="0"/>
          <w:numId w:val="2"/>
        </w:numPr>
        <w:spacing w:after="80"/>
      </w:pPr>
      <w:r>
        <w:rPr>
          <w:rFonts w:ascii="Arial" w:cs="Arial" w:eastAsia="Arial" w:hAnsi="Arial"/>
          <w:color w:val="333333"/>
          <w:sz w:val="21"/>
          <w:szCs w:val="21"/>
        </w:rPr>
        <w:t xml:space="preserve">"Veuillez" — trop formel, remplacer par une formulation directe</w:t>
      </w:r>
    </w:p>
    <w:p>
      <w:pPr>
        <w:pStyle w:val="ListParagraph"/>
        <w:numPr>
          <w:ilvl w:val="0"/>
          <w:numId w:val="2"/>
        </w:numPr>
        <w:spacing w:after="80"/>
      </w:pPr>
      <w:r>
        <w:rPr>
          <w:rFonts w:ascii="Arial" w:cs="Arial" w:eastAsia="Arial" w:hAnsi="Arial"/>
          <w:color w:val="333333"/>
          <w:sz w:val="21"/>
          <w:szCs w:val="21"/>
        </w:rPr>
        <w:t xml:space="preserve">"Malheureusement" — négatif, remplacer par une solution alternative</w:t>
      </w:r>
    </w:p>
    <w:p>
      <w:pPr>
        <w:pStyle w:val="ListParagraph"/>
        <w:numPr>
          <w:ilvl w:val="0"/>
          <w:numId w:val="2"/>
        </w:numPr>
        <w:spacing w:after="80"/>
      </w:pPr>
      <w:r>
        <w:rPr>
          <w:rFonts w:ascii="Arial" w:cs="Arial" w:eastAsia="Arial" w:hAnsi="Arial"/>
          <w:color w:val="333333"/>
          <w:sz w:val="21"/>
          <w:szCs w:val="21"/>
        </w:rPr>
        <w:t xml:space="preserve">"Simple et rapide" — cliché, décrire concrètement</w:t>
      </w:r>
    </w:p>
    <w:p>
      <w:pPr>
        <w:pStyle w:val="ListParagraph"/>
        <w:numPr>
          <w:ilvl w:val="0"/>
          <w:numId w:val="2"/>
        </w:numPr>
        <w:spacing w:after="80"/>
      </w:pPr>
      <w:r>
        <w:rPr>
          <w:rFonts w:ascii="Arial" w:cs="Arial" w:eastAsia="Arial" w:hAnsi="Arial"/>
          <w:color w:val="333333"/>
          <w:sz w:val="21"/>
          <w:szCs w:val="21"/>
        </w:rPr>
        <w:t xml:space="preserve">Anglicismes excessifs dans les marchés francophones</w:t>
      </w:r>
    </w:p>
    <w:p>
      <w:pPr>
        <w:spacing w:after="80"/>
      </w:pPr>
      <w:r>
        <w:t xml:space="preserve"/>
      </w:r>
    </w:p>
    <w:p>
      <w:r>
        <w:br w:type="page"/>
      </w:r>
    </w:p>
    <w:p>
      <w:pPr>
        <w:pStyle w:val="Heading1"/>
        <w:spacing w:after="180" w:before="360"/>
      </w:pPr>
      <w:r>
        <w:rPr>
          <w:rFonts w:ascii="Arial" w:cs="Arial" w:eastAsia="Arial" w:hAnsi="Arial"/>
          <w:b/>
          <w:bCs/>
          <w:color w:val="1A1A2E"/>
          <w:sz w:val="34"/>
          <w:szCs w:val="34"/>
        </w:rPr>
        <w:t xml:space="preserve">6. Applications de la Marque</w:t>
      </w:r>
    </w:p>
    <w:p>
      <w:pPr>
        <w:pStyle w:val="Heading2"/>
        <w:spacing w:after="140" w:before="280"/>
      </w:pPr>
      <w:r>
        <w:rPr>
          <w:rFonts w:ascii="Arial" w:cs="Arial" w:eastAsia="Arial" w:hAnsi="Arial"/>
          <w:b/>
          <w:bCs/>
          <w:color w:val="6C63FF"/>
          <w:sz w:val="26"/>
          <w:szCs w:val="26"/>
        </w:rPr>
        <w:t xml:space="preserve">6.1 Application mobile</w:t>
      </w:r>
    </w:p>
    <w:p>
      <w:pPr>
        <w:pStyle w:val="ListParagraph"/>
        <w:numPr>
          <w:ilvl w:val="0"/>
          <w:numId w:val="2"/>
        </w:numPr>
        <w:spacing w:after="80"/>
      </w:pPr>
      <w:r>
        <w:rPr>
          <w:rFonts w:ascii="Arial" w:cs="Arial" w:eastAsia="Arial" w:hAnsi="Arial"/>
          <w:color w:val="333333"/>
          <w:sz w:val="21"/>
          <w:szCs w:val="21"/>
        </w:rPr>
        <w:t xml:space="preserve">Fond écran d'accueil : Cloud #F5F4FF avec header Midnight #1A1A2E</w:t>
      </w:r>
    </w:p>
    <w:p>
      <w:pPr>
        <w:pStyle w:val="ListParagraph"/>
        <w:numPr>
          <w:ilvl w:val="0"/>
          <w:numId w:val="2"/>
        </w:numPr>
        <w:spacing w:after="80"/>
      </w:pPr>
      <w:r>
        <w:rPr>
          <w:rFonts w:ascii="Arial" w:cs="Arial" w:eastAsia="Arial" w:hAnsi="Arial"/>
          <w:color w:val="333333"/>
          <w:sz w:val="21"/>
          <w:szCs w:val="21"/>
        </w:rPr>
        <w:t xml:space="preserve">Bouton CTA principal : Signal Violet #6C63FF, texte blanc, border-radius 24px</w:t>
      </w:r>
    </w:p>
    <w:p>
      <w:pPr>
        <w:pStyle w:val="ListParagraph"/>
        <w:numPr>
          <w:ilvl w:val="0"/>
          <w:numId w:val="2"/>
        </w:numPr>
        <w:spacing w:after="80"/>
      </w:pPr>
      <w:r>
        <w:rPr>
          <w:rFonts w:ascii="Arial" w:cs="Arial" w:eastAsia="Arial" w:hAnsi="Arial"/>
          <w:color w:val="333333"/>
          <w:sz w:val="21"/>
          <w:szCs w:val="21"/>
        </w:rPr>
        <w:t xml:space="preserve">Icônes de navigation : 24px, Midnight inactif / Signal Violet actif</w:t>
      </w:r>
    </w:p>
    <w:p>
      <w:pPr>
        <w:pStyle w:val="ListParagraph"/>
        <w:numPr>
          <w:ilvl w:val="0"/>
          <w:numId w:val="2"/>
        </w:numPr>
        <w:spacing w:after="80"/>
      </w:pPr>
      <w:r>
        <w:rPr>
          <w:rFonts w:ascii="Arial" w:cs="Arial" w:eastAsia="Arial" w:hAnsi="Arial"/>
          <w:color w:val="333333"/>
          <w:sz w:val="21"/>
          <w:szCs w:val="21"/>
        </w:rPr>
        <w:t xml:space="preserve">Cartes de services : fond blanc, border 1px Mist, shadow légère, border-radius 12px</w:t>
      </w:r>
    </w:p>
    <w:p>
      <w:pPr>
        <w:pStyle w:val="ListParagraph"/>
        <w:numPr>
          <w:ilvl w:val="0"/>
          <w:numId w:val="2"/>
        </w:numPr>
        <w:spacing w:after="80"/>
      </w:pPr>
      <w:r>
        <w:rPr>
          <w:rFonts w:ascii="Arial" w:cs="Arial" w:eastAsia="Arial" w:hAnsi="Arial"/>
          <w:color w:val="333333"/>
          <w:sz w:val="21"/>
          <w:szCs w:val="21"/>
        </w:rPr>
        <w:t xml:space="preserve">Carte (map) : style nuit MOVA (fond Midnight, routes Violet, points intérêt Go Green)</w:t>
      </w:r>
    </w:p>
    <w:p>
      <w:pPr>
        <w:pStyle w:val="Heading2"/>
        <w:spacing w:after="140" w:before="280"/>
      </w:pPr>
      <w:r>
        <w:rPr>
          <w:rFonts w:ascii="Arial" w:cs="Arial" w:eastAsia="Arial" w:hAnsi="Arial"/>
          <w:b/>
          <w:bCs/>
          <w:color w:val="6C63FF"/>
          <w:sz w:val="26"/>
          <w:szCs w:val="26"/>
        </w:rPr>
        <w:t xml:space="preserve">6.2 Communications digitales</w:t>
      </w:r>
    </w:p>
    <w:p>
      <w:pPr>
        <w:pStyle w:val="ListParagraph"/>
        <w:numPr>
          <w:ilvl w:val="0"/>
          <w:numId w:val="2"/>
        </w:numPr>
        <w:spacing w:after="80"/>
      </w:pPr>
      <w:r>
        <w:rPr>
          <w:rFonts w:ascii="Arial" w:cs="Arial" w:eastAsia="Arial" w:hAnsi="Arial"/>
          <w:color w:val="333333"/>
          <w:sz w:val="21"/>
          <w:szCs w:val="21"/>
        </w:rPr>
        <w:t xml:space="preserve">Emails transactionnels : header Midnight avec logo blanc, corps sur fond blanc</w:t>
      </w:r>
    </w:p>
    <w:p>
      <w:pPr>
        <w:pStyle w:val="ListParagraph"/>
        <w:numPr>
          <w:ilvl w:val="0"/>
          <w:numId w:val="2"/>
        </w:numPr>
        <w:spacing w:after="80"/>
      </w:pPr>
      <w:r>
        <w:rPr>
          <w:rFonts w:ascii="Arial" w:cs="Arial" w:eastAsia="Arial" w:hAnsi="Arial"/>
          <w:color w:val="333333"/>
          <w:sz w:val="21"/>
          <w:szCs w:val="21"/>
        </w:rPr>
        <w:t xml:space="preserve">Notifications push : court, direct, 1 emoji max (de mouvement : 🚗 📦 🏍️)</w:t>
      </w:r>
    </w:p>
    <w:p>
      <w:pPr>
        <w:pStyle w:val="ListParagraph"/>
        <w:numPr>
          <w:ilvl w:val="0"/>
          <w:numId w:val="2"/>
        </w:numPr>
        <w:spacing w:after="80"/>
      </w:pPr>
      <w:r>
        <w:rPr>
          <w:rFonts w:ascii="Arial" w:cs="Arial" w:eastAsia="Arial" w:hAnsi="Arial"/>
          <w:color w:val="333333"/>
          <w:sz w:val="21"/>
          <w:szCs w:val="21"/>
        </w:rPr>
        <w:t xml:space="preserve">Réseaux sociaux : visuels avec fond Cloud, accent Violet ou Orange selon le service</w:t>
      </w:r>
    </w:p>
    <w:p>
      <w:pPr>
        <w:pStyle w:val="Heading2"/>
        <w:spacing w:after="140" w:before="280"/>
      </w:pPr>
      <w:r>
        <w:rPr>
          <w:rFonts w:ascii="Arial" w:cs="Arial" w:eastAsia="Arial" w:hAnsi="Arial"/>
          <w:b/>
          <w:bCs/>
          <w:color w:val="6C63FF"/>
          <w:sz w:val="26"/>
          <w:szCs w:val="26"/>
        </w:rPr>
        <w:t xml:space="preserve">6.3 Supports physiques</w:t>
      </w:r>
    </w:p>
    <w:p>
      <w:pPr>
        <w:pStyle w:val="ListParagraph"/>
        <w:numPr>
          <w:ilvl w:val="0"/>
          <w:numId w:val="2"/>
        </w:numPr>
        <w:spacing w:after="80"/>
      </w:pPr>
      <w:r>
        <w:rPr>
          <w:rFonts w:ascii="Arial" w:cs="Arial" w:eastAsia="Arial" w:hAnsi="Arial"/>
          <w:color w:val="333333"/>
          <w:sz w:val="21"/>
          <w:szCs w:val="21"/>
        </w:rPr>
        <w:t xml:space="preserve">Véhicules partenaires : sticker MOVA en Signal Violet sur fond blanc (optionnel)</w:t>
      </w:r>
    </w:p>
    <w:p>
      <w:pPr>
        <w:pStyle w:val="ListParagraph"/>
        <w:numPr>
          <w:ilvl w:val="0"/>
          <w:numId w:val="2"/>
        </w:numPr>
        <w:spacing w:after="80"/>
      </w:pPr>
      <w:r>
        <w:rPr>
          <w:rFonts w:ascii="Arial" w:cs="Arial" w:eastAsia="Arial" w:hAnsi="Arial"/>
          <w:color w:val="333333"/>
          <w:sz w:val="21"/>
          <w:szCs w:val="21"/>
        </w:rPr>
        <w:t xml:space="preserve">Uniforme livreur : t-shirt Midnight avec logo MOVA blanc centré</w:t>
      </w:r>
    </w:p>
    <w:p>
      <w:pPr>
        <w:pStyle w:val="ListParagraph"/>
        <w:numPr>
          <w:ilvl w:val="0"/>
          <w:numId w:val="2"/>
        </w:numPr>
        <w:spacing w:after="80"/>
      </w:pPr>
      <w:r>
        <w:rPr>
          <w:rFonts w:ascii="Arial" w:cs="Arial" w:eastAsia="Arial" w:hAnsi="Arial"/>
          <w:color w:val="333333"/>
          <w:sz w:val="21"/>
          <w:szCs w:val="21"/>
        </w:rPr>
        <w:t xml:space="preserve">Flyers : fond blanc, logo Midnight + accent Violet, une seule offre par flyer</w:t>
      </w:r>
    </w:p>
    <w:p>
      <w:pPr>
        <w:spacing w:after="80"/>
      </w:pPr>
      <w:r>
        <w:t xml:space="preserve"/>
      </w:r>
    </w:p>
    <w:p>
      <w:pPr>
        <w:spacing w:after="120"/>
      </w:pPr>
      <w:r>
        <w:rPr>
          <w:rFonts w:ascii="Arial" w:cs="Arial" w:eastAsia="Arial" w:hAnsi="Arial"/>
          <w:color w:val="888888"/>
          <w:sz w:val="21"/>
          <w:szCs w:val="21"/>
        </w:rPr>
        <w:t xml:space="preserve">— Fin du Brand Identity Guide v1.0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6C63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2026-06-12T06:41:05.786Z</dcterms:created>
  <dcterms:modified xsi:type="dcterms:W3CDTF">2026-06-12T06:41:05.786Z</dcterms:modified>
</cp:coreProperties>
</file>

<file path=docProps/custom.xml><?xml version="1.0" encoding="utf-8"?>
<Properties xmlns="http://schemas.openxmlformats.org/officeDocument/2006/custom-properties" xmlns:vt="http://schemas.openxmlformats.org/officeDocument/2006/docPropsVTypes"/>
</file>